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BLBV — Begriffsbestimmungen</w:t>
      </w:r>
    </w:p>
    <w:p>
      <w:r>
        <w:rPr>
          <w:color w:val="555555"/>
          <w:sz w:val="18"/>
        </w:rPr>
        <w:t xml:space="preserve">Bundesleistungsbesoldungsverordnung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Leistungsbezogene Besoldungsinstrumente im Sinne dieser Verordnung sind Leistungsstufe, Leistungsprämie und Leistungszulage.</w:t>
      </w:r>
    </w:p>
    <w:p>
      <w:r>
        <w:t xml:space="preserve">(2) Besoldungsempfängerinnen und Besoldungsempfänger im Sinne dieser Verordnung sind:</w:t>
      </w:r>
    </w:p>
    <w:p>
      <w:pPr>
        <w:ind w:left="420"/>
      </w:pPr>
      <w:r>
        <w:t xml:space="preserve">1. Beamtinnen und Beamte, Soldatinnen und Soldaten,</w:t>
      </w:r>
    </w:p>
    <w:p>
      <w:pPr>
        <w:ind w:left="420"/>
      </w:pPr>
      <w:r>
        <w:t xml:space="preserve">2. Richterinnen und Richter, die ihr Amt nicht ausüben,</w:t>
      </w:r>
    </w:p>
    <w:p>
      <w:pPr>
        <w:ind w:left="420"/>
      </w:pPr>
      <w:r>
        <w:t xml:space="preserve">3. Staatsanwältinnen und Staatsanwälte.</w:t>
      </w:r>
    </w:p>
    <w:p>
      <w:r>
        <w:rPr>
          <w:color w:val="555555"/>
          <w:sz w:val="17"/>
        </w:rPr>
        <w:t xml:space="preserve">Zitiervorschlag: § 2 BLBV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