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BKrFQV 2020 — Unterrichts- und Prüfungsanforderungen in besonderen Fällen</w:t>
      </w:r>
    </w:p>
    <w:p>
      <w:r>
        <w:rPr>
          <w:color w:val="555555"/>
          <w:sz w:val="18"/>
        </w:rPr>
        <w:t xml:space="preserve">Berufskraftfahrerqualifikationsverordnung</w:t>
      </w:r>
    </w:p>
    <w:p>
      <w:r>
        <w:rPr>
          <w:color w:val="555555"/>
          <w:sz w:val="18"/>
        </w:rPr>
        <w:t xml:space="preserve">Stand: 19.08.2026 (konsolidierte Textfassung, kein amtliches Inkrafttretensdatum)</w:t>
      </w:r>
    </w:p>
    <w:p>
      <w:r>
        <w:t xml:space="preserve">(1) Fahrer im Güterkraftverkehr, die ihre Tätigkeit auf den Personenkraftverkehr ausweiten oder ändern, oder Fahrer im Personenkraftverkehr, die ihre Tätigkeit auf den Güterkraftverkehr ausweiten oder ändern, und die jeweils eine Grundqualifikation oder eine beschleunigte Grundqualifikation erworben haben, müssen bei der theoretischen und praktischen Prüfung nach § 1 Absatz 2 nur diejenigen Teile ablegen, welche Kraftfahrzeuge betreffen, die Gegenstand der neuen Grundqualifikation sind.</w:t>
      </w:r>
    </w:p>
    <w:p>
      <w:r>
        <w:t xml:space="preserve">(2) Bei Absolvierung der beschleunigten Grundqualifikation beträgt die Unterrichtsdauer 35 Unterrichtseinheiten, von denen 2,5 Unterrichtseinheiten auf das Führen eines Kraftfahrzeugs der betreffenden Klassen entfallen. Das Kraftfahrzeug muss den Anforderungen nach § 2 Absatz 3 Satz 2 entsprechen. Die theoretische Prüfung beschränkt sich auf diejenigen in Anlage 1 genannten Kenntnisbereiche, welche die Kraftfahrzeuge betreffen, die Gegenstand der neuen beschleunigten Grundqualifikation sind.</w:t>
      </w:r>
    </w:p>
    <w:p>
      <w:r>
        <w:t xml:space="preserve">(3) Die Absätze 1 und 2 sind nur anzuwenden, sofern der Fahrer gegenüber der zuständigen Industrie- und Handelskammer die jeweilige Grundqualifikation oder beschleunigte Grundqualifikation nachweist.</w:t>
      </w:r>
    </w:p>
    <w:p>
      <w:r>
        <w:rPr>
          <w:color w:val="555555"/>
          <w:sz w:val="17"/>
        </w:rPr>
        <w:t xml:space="preserve">Zitiervorschlag: § 3 BKrFQV 2020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