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BKrFQG 2020 — Datenerhebung, -speicherung und -verwendung durch den Hersteller des Fahrerqualifizierungsnachweises</w:t>
      </w:r>
    </w:p>
    <w:p>
      <w:r>
        <w:rPr>
          <w:color w:val="555555"/>
          <w:sz w:val="18"/>
        </w:rPr>
        <w:t xml:space="preserve">Berufskraftfahrerqualifikationsgesetz</w:t>
      </w:r>
    </w:p>
    <w:p>
      <w:r>
        <w:rPr>
          <w:color w:val="555555"/>
          <w:sz w:val="18"/>
        </w:rPr>
        <w:t xml:space="preserve">Stand: 23.05.2021 (konsolidierte Textfassung, kein amtliches Inkrafttretensdatum)</w:t>
      </w:r>
    </w:p>
    <w:p>
      <w:r>
        <w:t xml:space="preserve">(1) Der Hersteller ist ausschließlich zum Nachweis des Verbleibs des Fahrerqualifizierungsnachweises befugt, folgende Daten zu erheben, zu speichern und zu verwenden:</w:t>
      </w:r>
    </w:p>
    <w:p>
      <w:pPr>
        <w:ind w:left="420"/>
      </w:pPr>
      <w:r>
        <w:t xml:space="preserve">1. die Seriennummer,</w:t>
      </w:r>
    </w:p>
    <w:p>
      <w:pPr>
        <w:ind w:left="420"/>
      </w:pPr>
      <w:r>
        <w:t xml:space="preserve">2. die ausstellende Behörde und</w:t>
      </w:r>
    </w:p>
    <w:p>
      <w:pPr>
        <w:ind w:left="420"/>
      </w:pPr>
      <w:r>
        <w:t xml:space="preserve">3. den Tag des Versandes.</w:t>
      </w:r>
    </w:p>
    <w:p>
      <w:r>
        <w:t xml:space="preserve">(2) Die Erhebung, Speicherung und Verwendung der übrigen im Fahrerqualifizierungsnachweis enthaltenen Daten beim Hersteller ist zulässig, soweit und solange sie ausschließlich der Herstellung des Fahrerqualifizierungsnachweises und der Datenübermittlung an das Berufskraftfahrerqualifikationsregister dient.</w:t>
      </w:r>
    </w:p>
    <w:p>
      <w:r>
        <w:t xml:space="preserve">(3) Die Daten nach Absatz 2 sind vom Hersteller nach der Datenübermittlung an das Kraftfahrt-Bundesamt zur dortigen Speicherung in dem Berufskraftfahrerqualifikationsregister unverzüglich zu löschen.</w:t>
      </w:r>
    </w:p>
    <w:p>
      <w:r>
        <w:rPr>
          <w:color w:val="555555"/>
          <w:sz w:val="17"/>
        </w:rPr>
        <w:t xml:space="preserve">Zitiervorschlag: § 16 BKrFQG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https://recht.nulegal.eu/gesetze/BKrFQG%202020/16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