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BKrFQG 2020 — Registerführende Behörde</w:t>
      </w:r>
    </w:p>
    <w:p>
      <w:r>
        <w:rPr>
          <w:color w:val="555555"/>
          <w:sz w:val="18"/>
        </w:rPr>
        <w:t xml:space="preserve">Berufskraftfahrerqualifikationsgesetz</w:t>
      </w:r>
    </w:p>
    <w:p>
      <w:r>
        <w:rPr>
          <w:color w:val="555555"/>
          <w:sz w:val="18"/>
        </w:rPr>
        <w:t xml:space="preserve">Stand: 23.05.2021 (konsolidierte Textfassung, kein amtliches Inkrafttretensdatum)</w:t>
      </w:r>
    </w:p>
    <w:p>
      <w:r>
        <w:t xml:space="preserve">Das Kraftfahrt-Bundesamt führt das Berufskraftfahrerqualifikationsregister.</w:t>
      </w:r>
    </w:p>
    <w:p>
      <w:r>
        <w:rPr>
          <w:color w:val="555555"/>
          <w:sz w:val="17"/>
        </w:rPr>
        <w:t xml:space="preserve">Zitiervorschlag: § 13 BKrFQG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https://recht.nulegal.eu/gesetze/BKrFQG%202020/13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