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BKostV-MPG</w:t>
      </w:r>
    </w:p>
    <w:p>
      <w:r>
        <w:rPr>
          <w:color w:val="555555"/>
          <w:sz w:val="18"/>
        </w:rPr>
        <w:t xml:space="preserve">Medizinprodukte-Gebührenverordnung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Auf Grund des § 37 Abs. 9, 11 Satz 1 und Abs. 12 Satz 3 des Medizinproduktegesetzes vom 2. August 1994 (BGBl. I S. 1963), der durch Artikel 1 Nr. 32 des Gesetzes vom 13. Dezember 2001 (BGBl. I S. 3586) neu gefasst worden ist, in Verbindung mit dem 2. Abschnitt des Verwaltungskostengesetzes vom 23. Juni 1970 (BGBl. I S. 821), verordnet das Bundesministerium für Gesundheit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BKostV-MPG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https://recht.nulegal.eu/gesetze/BKostV-MPG/eingangsformel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