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BKostV-MPG — Gebührenbemessung</w:t>
      </w:r>
    </w:p>
    <w:p>
      <w:r>
        <w:rPr>
          <w:color w:val="555555"/>
          <w:sz w:val="18"/>
        </w:rPr>
        <w:t xml:space="preserve">Medizinprodukte-Gebührenverordnung</w:t>
      </w:r>
    </w:p>
    <w:p>
      <w:r>
        <w:rPr>
          <w:color w:val="555555"/>
          <w:sz w:val="18"/>
        </w:rPr>
        <w:t xml:space="preserve">Historische Fassung: Stand 10.06.2019 bis 26.05.2021. Dies ist nicht die aktuelle Fassung.</w:t>
      </w:r>
    </w:p>
    <w:p>
      <w:r>
        <w:t xml:space="preserve">Soweit diese Verordnung Gebührenrahmensätze vorsieht, richtet sich die Bemessung der konkreten Gebühr nach § 23 Absatz 4 Satz 2 und 3 des Bundesgebührengesetzes.</w:t>
      </w:r>
    </w:p>
    <w:p>
      <w:r>
        <w:rPr>
          <w:color w:val="555555"/>
          <w:sz w:val="17"/>
        </w:rPr>
        <w:t xml:space="preserve">Zitiervorschlag: § 9 BKostV-MPG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https://recht.nulegal.eu/gesetze/BKostV-MPG/9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