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BKostV-MPG — Beratungen</w:t>
      </w:r>
    </w:p>
    <w:p>
      <w:r>
        <w:rPr>
          <w:color w:val="555555"/>
          <w:sz w:val="18"/>
        </w:rPr>
        <w:t xml:space="preserve">Medizinprodukte-Gebührenverordnung</w:t>
      </w:r>
    </w:p>
    <w:p>
      <w:r>
        <w:rPr>
          <w:color w:val="555555"/>
          <w:sz w:val="18"/>
        </w:rPr>
        <w:t xml:space="preserve">Historische Fassung: Stand 10.06.2019 bis 26.05.2021. Dies ist nicht die aktuelle Fassung.</w:t>
      </w:r>
    </w:p>
    <w:p>
      <w:r>
        <w:t xml:space="preserve">Die Gebühr für die Beratung des Verantwortlichen nach § 5 des Medizinproduktegesetzes, von Benannten Stellen und von Sponsoren nach § 32 des Medizinproduktegesetzes beträgt 500 bis 2 800 Euro.</w:t>
      </w:r>
    </w:p>
    <w:p>
      <w:r>
        <w:rPr>
          <w:color w:val="555555"/>
          <w:sz w:val="17"/>
        </w:rPr>
        <w:t xml:space="preserve">Zitiervorschlag: § 6 BKostV-MPG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https://recht.nulegal.eu/gesetze/BKostV-MPG/6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