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BKostV-MPG — Klassifizierung und Abgrenzung von Produkten</w:t>
      </w:r>
    </w:p>
    <w:p>
      <w:r>
        <w:rPr>
          <w:color w:val="555555"/>
          <w:sz w:val="18"/>
        </w:rPr>
        <w:t xml:space="preserve">Medizinprodukte-Gebührenverordnung</w:t>
      </w:r>
    </w:p>
    <w:p>
      <w:r>
        <w:rPr>
          <w:color w:val="555555"/>
          <w:sz w:val="18"/>
        </w:rPr>
        <w:t xml:space="preserve">Historische Fassung: Stand 10.06.2019 bis 26.05.2021. Dies ist nicht die aktuelle Fassung.</w:t>
      </w:r>
    </w:p>
    <w:p>
      <w:r>
        <w:t xml:space="preserve">Die Gebühr für eine Entscheidung nach § 13 Absatz 2 und 3 des Medizinproduktegesetzes zur Klassifizierung eines Medizinproduktes und zur Abgrenzung von Medizinprodukten zu anderen Produkten beträgt 400 bis 7 500 Euro.</w:t>
      </w:r>
    </w:p>
    <w:p>
      <w:r>
        <w:rPr>
          <w:color w:val="555555"/>
          <w:sz w:val="17"/>
        </w:rPr>
        <w:t xml:space="preserve">Zitiervorschlag: § 3 BKostV-MPG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https://recht.nulegal.eu/gesetze/BKostV-MPG/3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