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BKostV-MPG — Übergangsregelung</w:t>
      </w:r>
    </w:p>
    <w:p>
      <w:r>
        <w:rPr>
          <w:color w:val="555555"/>
          <w:sz w:val="18"/>
        </w:rPr>
        <w:t xml:space="preserve">Medizinprodukte-Gebührenverordnung</w:t>
      </w:r>
    </w:p>
    <w:p>
      <w:r>
        <w:rPr>
          <w:color w:val="555555"/>
          <w:sz w:val="18"/>
        </w:rPr>
        <w:t xml:space="preserve">Historische Fassung: Stand 10.06.2019 bis 26.05.2021. Dies ist nicht die aktuelle Fassung.</w:t>
      </w:r>
    </w:p>
    <w:p>
      <w:r>
        <w:t xml:space="preserve">(1) Für eine individuell zurechenbare öffentliche Leistung, die vor dem 11. November 2014 beantragt oder begonnen, aber noch nicht vollständig erbracht wurde, sind Gebühren und Auslagen nach der Medizinprodukte-Gebührenverordnung in der Fassung vor dem 11. November 2014 zu erheben.</w:t>
      </w:r>
    </w:p>
    <w:p>
      <w:r>
        <w:t xml:space="preserve">(2) Für eine individuell zurechenbare öffentliche Leistung, die vor dem 11. November 2014 vorgenommen, beantragt oder begonnen wurde, können Gebühren und Auslagen nach dieser Verordnung erhoben werden, soweit bei diesen Leistungen unter Hinweis auf die bevorstehende Ergänzung der Medizinprodukte-Gebührenverordnung eine Gebührenfestsetzung ausdrücklich vorbehalten worden ist.</w:t>
      </w:r>
    </w:p>
    <w:p>
      <w:r>
        <w:rPr>
          <w:color w:val="555555"/>
          <w:sz w:val="17"/>
        </w:rPr>
        <w:t xml:space="preserve">Zitiervorschlag: § 13 BKostV-MPG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https://recht.nulegal.eu/gesetze/BKostV-MPG/13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