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BKostV-MPG — Anwendungsbereich</w:t>
      </w:r>
    </w:p>
    <w:p>
      <w:r>
        <w:rPr>
          <w:color w:val="555555"/>
          <w:sz w:val="18"/>
        </w:rPr>
        <w:t xml:space="preserve">Medizinprodukte-Gebührenverordnung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Die zuständige Bundesoberbehörde erhebt für ihre individuell zurechenbaren öffentlichen Leistungen nach dem Medizinproduktegesetz und den zur Durchführung dieses Gesetzes erlassenen Rechtsverordnungen Gebühren und Auslagen nach Maßgabe folgender Vorschriften.</w:t>
      </w:r>
    </w:p>
    <w:p>
      <w:r>
        <w:rPr>
          <w:color w:val="555555"/>
          <w:sz w:val="17"/>
        </w:rPr>
        <w:t xml:space="preserve">Zitiervorschlag: § 1 BKostV-MPG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https://recht.nulegal.eu/gesetze/BKostV-MPG/1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BKostV-MPG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