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BKompV — Anforderungen an den Ausgleich und den Ersatz erheblicher Beeinträchtigungen weiterer Schutzgüter</w:t>
      </w:r>
    </w:p>
    <w:p>
      <w:r>
        <w:rPr>
          <w:color w:val="555555"/>
          <w:sz w:val="18"/>
        </w:rPr>
        <w:t xml:space="preserve">Bundeskompensationsverordnung</w:t>
      </w:r>
    </w:p>
    <w:p>
      <w:r>
        <w:rPr>
          <w:color w:val="555555"/>
          <w:sz w:val="18"/>
        </w:rPr>
        <w:t xml:space="preserve">Stand: 03.06.2020 (konsolidierte Textfassung, kein amtliches Inkrafttretensdatum)</w:t>
      </w:r>
    </w:p>
    <w:p>
      <w:r>
        <w:t xml:space="preserve">(1) Erhebliche Beeinträchtigungen der Schutzgüter Tiere, Pflanzen, Boden, Wasser, Klima und Luft werden durch die nach § 8 Absatz 1 Satz 1 zu bestimmende erforderliche Aufwertung ausgeglichen oder ersetzt.</w:t>
      </w:r>
    </w:p>
    <w:p>
      <w:r>
        <w:t xml:space="preserve">(2) Mindestens erhebliche Beeinträchtigungen des Landschaftsbildes sowie erhebliche Beeinträchtigungen besonderer Schwere sonstiger Schutzgüter sind nach Maßgabe der Absätze 3 bis 5 zu kompensieren. Einer solchen Kompensation bedarf es nicht, soweit</w:t>
      </w:r>
    </w:p>
    <w:p>
      <w:pPr>
        <w:ind w:left="420"/>
      </w:pPr>
      <w:r>
        <w:t xml:space="preserve">1. im Einzelfall ein Ausgleich oder Ersatz nach Maßgabe der Absätze 3 und 4 naturschutzfachlich nicht sinnvoll ist und durch Maßnahmen auf der Grundlage eines Konzepts eine naturschutzfachlich sinnvollere Aufwertung erfolgt,</w:t>
      </w:r>
    </w:p>
    <w:p>
      <w:pPr>
        <w:ind w:left="420"/>
      </w:pPr>
      <w:r>
        <w:t xml:space="preserve">2. infolge des Eingriffs innerhalb von fünf Jahren höherwertige Biotope entstehen oder entwickelt werden können als die Biotope, die auf der durch das Vorhaben in Anspruch genommenen Fläche vorhanden sind, oder</w:t>
      </w:r>
    </w:p>
    <w:p>
      <w:pPr>
        <w:ind w:left="420"/>
      </w:pPr>
      <w:r>
        <w:t xml:space="preserve">3. für die Schutzgüter Boden, Wasser, Klima und Luft entsprechende Maßnahmen nach dem sonstigen Fachrecht vorgesehen sind.</w:t>
      </w:r>
    </w:p>
    <w:p>
      <w:r>
        <w:t xml:space="preserve">(3) Eine Beeinträchtigung ist ausgeglichen, wenn die betroffene Funktion unter Berücksichtigung der Maßgaben nach Anlage 5 Abschnitt A Spalte 3 durch Maßnahmen in dem in der Anlage 5 Abschnitt A Spalte 4 jeweils bezeichneten Raum und innerhalb einer angemessenen Frist wiederhergestellt ist. Bei der Festlegung von Ausgleichsmaßnahmen sind Entwicklungszeiten nach Anlage 5 Abschnitt B zu berücksichtigen.</w:t>
      </w:r>
    </w:p>
    <w:p>
      <w:r>
        <w:t xml:space="preserve">(4) Eine Beeinträchtigung ist ersetzt, wenn die betroffene Funktion unter Berücksichtigung der Maßgaben nach Anlage 5 Abschnitt A Spalte 3 durch Maßnahmen in dem betroffenen nach Anlage 4 umgrenzten Naturraum und innerhalb einer angemessenen Frist hergestellt ist. Bei der Festlegung von Ersatzmaßnahmen sind Entwicklungszeiten nach Anlage 5 Abschnitt B zu berücksichtigen.</w:t>
      </w:r>
    </w:p>
    <w:p>
      <w:r>
        <w:t xml:space="preserve">(5) Soweit Beeinträchtigungen des Landschaftsbildes auszugleichen oder zu ersetzen sind, können die Anforderungen der Absätze 3 und 4 auch durch eine landschaftsgerechte Neugestaltung erfüllt werden.</w:t>
      </w:r>
    </w:p>
    <w:p>
      <w:r>
        <w:rPr>
          <w:color w:val="555555"/>
          <w:sz w:val="17"/>
        </w:rPr>
        <w:t xml:space="preserve">Zitiervorschlag: § 9 BKompV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https://recht.nulegal.eu/gesetze/BKompV/9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