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BKompV — Bewertung weiterer Schutzgüter</w:t>
      </w:r>
    </w:p>
    <w:p>
      <w:r>
        <w:rPr>
          <w:color w:val="555555"/>
          <w:sz w:val="18"/>
        </w:rPr>
        <w:t xml:space="preserve">Bundeskompensationsverordnung</w:t>
      </w:r>
    </w:p>
    <w:p>
      <w:r>
        <w:rPr>
          <w:color w:val="555555"/>
          <w:sz w:val="18"/>
        </w:rPr>
        <w:t xml:space="preserve">Stand: 03.06.2020 (konsolidierte Textfassung, kein amtliches Inkrafttretensdatum)</w:t>
      </w:r>
    </w:p>
    <w:p>
      <w:r>
        <w:t xml:space="preserve">(1) Die Erfassung und Bewertung der in der Anlage 1 Spalte 1 und 2 genannten weiteren Schutzgüter und Funktionen erfolgt anhand der Anlage 1 Spalte 3. Die Bedeutung der erfassten Funktionen ist anschließend jeweils innerhalb des in der Anlage 1 Spalte 4 genannten Rahmens anhand der Wertstufen „sehr gering“, „gering“, „mittel“, „hoch“, „sehr hoch“ und „hervorragend“ zu bewerten.</w:t>
      </w:r>
    </w:p>
    <w:p>
      <w:r>
        <w:t xml:space="preserve">(2) Zur Bewertung der zu erwartenden unvermeidbaren Beeinträchtigungen der Schutzgüter und Funktionen nach Anlage 1 Spalte 1 und 2 sind die ausgehenden Wirkungen des Vorhabens auf die erfassten und bewerteten Funktionen zu ermitteln und im Hinblick auf ihre Stärke, Dauer und Reichweite den Stufen „gering“, „mittel“ und „hoch“ zuzuordnen. Anschließend ist anhand der Anlage 3 festzustellen, ob die einzelnen zu erwartenden Beeinträchtigungen für die jeweils betroffene Funktion als nicht erheblich, erheblich oder erheblich mit besonderer Schwere einzustufen sind.</w:t>
      </w:r>
    </w:p>
    <w:p>
      <w:r>
        <w:rPr>
          <w:color w:val="555555"/>
          <w:sz w:val="17"/>
        </w:rPr>
        <w:t xml:space="preserve">Zitiervorschlag: § 6 BKompV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https://recht.nulegal.eu/gesetze/BKompV/6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