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BKompV — Grundsätze der Bewertung des vorhandenen Zustands und der zu erwartenden unvermeidbaren Beeinträchtigungen</w:t>
      </w:r>
    </w:p>
    <w:p>
      <w:r>
        <w:rPr>
          <w:color w:val="555555"/>
          <w:sz w:val="18"/>
        </w:rPr>
        <w:t xml:space="preserve">Bundeskompensationsverordnung</w:t>
      </w:r>
    </w:p>
    <w:p>
      <w:r>
        <w:rPr>
          <w:color w:val="555555"/>
          <w:sz w:val="18"/>
        </w:rPr>
        <w:t xml:space="preserve">Stand: 03.06.2020 (konsolidierte Textfassung, kein amtliches Inkrafttretensdatum)</w:t>
      </w:r>
    </w:p>
    <w:p>
      <w:r>
        <w:t xml:space="preserve">(1) Zur Ermittlung des Kompensationsbedarfs</w:t>
      </w:r>
    </w:p>
    <w:p>
      <w:pPr>
        <w:ind w:left="420"/>
      </w:pPr>
      <w:r>
        <w:t xml:space="preserve">1. ist der vorhandene Zustand von Natur und Landschaft im Einwirkungsbereich des Vorhabens zu erfassen und zu bewerten und</w:t>
      </w:r>
    </w:p>
    <w:p>
      <w:pPr>
        <w:ind w:left="420"/>
      </w:pPr>
      <w:r>
        <w:t xml:space="preserve">2. sind die bei Durchführung des Vorhabens zu erwartenden unvermeidbaren Beeinträchtigungen der Leistungs- und Funktionsfähigkeit des Naturhaushalts und des Landschaftsbildes nach Maßgabe der nachfolgenden Vorschriften zu ermitteln und zu bewerten.</w:t>
      </w:r>
    </w:p>
    <w:p>
      <w:r>
        <w:t xml:space="preserve">Vorhabenbezogene Wirkungen, die naturschutzfachlich als sehr gering eingeschätzt werden, bleiben bei der Bewertung nach § 5 Absatz 3 Satz 1 und § 6 Absatz 2 Satz 1 außer Betracht. Unterhaltungsmaßnahmen an Energieleitungen sind in der Regel nicht zu kompensieren; dies gilt insbesondere im Falle eines ökologischen Trassenmanagements.</w:t>
      </w:r>
    </w:p>
    <w:p>
      <w:r>
        <w:t xml:space="preserve">(2) Die im Einwirkungsbereich des Vorhabens liegenden Biotope sind zu erfassen und zu bewerten. Die Erfassung und Bewertung erfolgt nach Maßgabe des § 5.</w:t>
      </w:r>
    </w:p>
    <w:p>
      <w:r>
        <w:t xml:space="preserve">(3) Die in der Anlage 1 Spalte 1 und 2 genannten Schutzgüter und Funktionen sind nur dann zu erfassen und zu bewerten, wenn sie von dem Vorhaben betroffen sein werden und wenn auf Grund einer fachlichen Einschätzung der zuständigen Behörde unter Beteiligung der für Naturschutz und Landschaftspflege zuständigen Behörde nach überschlägiger Prüfung folgende Beeinträchtigungen zu erwarten sind:</w:t>
      </w:r>
    </w:p>
    <w:p>
      <w:pPr>
        <w:ind w:left="420"/>
      </w:pPr>
      <w:r>
        <w:t xml:space="preserve">1. bei den Schutzgütern Tiere, Pflanzen, Boden, Wasser, Klima oder Luft eine erhebliche Beeinträchtigung besonderer Schwere,</w:t>
      </w:r>
    </w:p>
    <w:p>
      <w:pPr>
        <w:ind w:left="420"/>
      </w:pPr>
      <w:r>
        <w:t xml:space="preserve">2. beim Schutzgut Landschaftsbild mindestens eine erhebliche Beeinträchtigung.</w:t>
      </w:r>
    </w:p>
    <w:p>
      <w:r>
        <w:t xml:space="preserve">Die Erfassung und Bewertung erfolgt nach Maßgabe des § 6.</w:t>
      </w:r>
    </w:p>
    <w:p>
      <w:r>
        <w:rPr>
          <w:color w:val="555555"/>
          <w:sz w:val="17"/>
        </w:rPr>
        <w:t xml:space="preserve">Zitiervorschlag: § 4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