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BKompV — Allgemeine Anforderungen an die Vermeidung und die Kompensation</w:t>
      </w:r>
    </w:p>
    <w:p>
      <w:r>
        <w:rPr>
          <w:color w:val="555555"/>
          <w:sz w:val="18"/>
        </w:rPr>
        <w:t xml:space="preserve">Bundeskompensationsverordnung</w:t>
      </w:r>
    </w:p>
    <w:p>
      <w:r>
        <w:rPr>
          <w:color w:val="555555"/>
          <w:sz w:val="18"/>
        </w:rPr>
        <w:t xml:space="preserve">Stand: 03.06.2020 (konsolidierte Textfassung, kein amtliches Inkrafttretensdatum)</w:t>
      </w:r>
    </w:p>
    <w:p>
      <w:r>
        <w:t xml:space="preserve">(1) Die nach § 17 des Bundesnaturschutzgesetzes zuständige Behörde trifft die zur Durchführung des § 15 Absatz 1 bis 6 des Bundesnaturschutzgesetzes erforderlichen Entscheidungen und Maßnahmen</w:t>
      </w:r>
    </w:p>
    <w:p>
      <w:pPr>
        <w:ind w:left="420"/>
      </w:pPr>
      <w:r>
        <w:t xml:space="preserve">1. auf der Grundlage der vom Verursacher eines Eingriffs gemachten Angaben nach § 17 Absatz 4 des Bundesnaturschutzgesetzes,</w:t>
      </w:r>
    </w:p>
    <w:p>
      <w:pPr>
        <w:ind w:left="420"/>
      </w:pPr>
      <w:r>
        <w:t xml:space="preserve">2. auf der Grundlage der Informationen, die bei der zuständigen Behörde und den zu beteiligenden Behörden vorliegen, und</w:t>
      </w:r>
    </w:p>
    <w:p>
      <w:pPr>
        <w:ind w:left="420"/>
      </w:pPr>
      <w:r>
        <w:t xml:space="preserve">3. unter Berücksichtigung der Ziele des Naturschutzes und der Landschaftspflege nach § 1 des Bundesnaturschutzgesetzes.</w:t>
      </w:r>
    </w:p>
    <w:p>
      <w:r>
        <w:t xml:space="preserve">(2) Die Inhalte der Landschaftsplanung im Sinne des § 9 Absatz 2 und 3 des Bundesnaturschutzgesetzes sind zu berücksichtigen</w:t>
      </w:r>
    </w:p>
    <w:p>
      <w:pPr>
        <w:ind w:left="420"/>
      </w:pPr>
      <w:r>
        <w:t xml:space="preserve">1. bei der Bewertung des vorhandenen Zustands von Natur und Landschaft und der zu erwartenden Beeinträchtigungen von Natur und Landschaft im Sinne des § 4 Absatz 1 Satz 1 und</w:t>
      </w:r>
    </w:p>
    <w:p>
      <w:pPr>
        <w:ind w:left="420"/>
      </w:pPr>
      <w:r>
        <w:t xml:space="preserve">2. bei der Vermeidung, dem Ausgleich und dem Ersatz von erheblichen Beeinträchtigungen von Natur und Landschaft.</w:t>
      </w:r>
    </w:p>
    <w:p>
      <w:r>
        <w:t xml:space="preserve">(3) Bei der Prüfung, ob zumutbare Alternativen nach § 15 Absatz 1 Satz 2 des Bundesnaturschutzgesetzes gegeben sind, soll auch berücksichtigt werden, inwieweit die Alternativen dazu beitragen, die Inanspruchnahme von Flächen, insbesondere die Versiegelung von Böden, durch den Eingriff zu verringern.</w:t>
      </w:r>
    </w:p>
    <w:p>
      <w:r>
        <w:t xml:space="preserve">(4) Im Rahmen der Festsetzung des Kompensationsumfangs ist zu prüfen, inwieweit beeinträchtigte Funktionen des Naturhaushalts und des Landschaftsbildes bereits kompensiert werden durch anerkennungsfähige Maßnahmen des Verursachers</w:t>
      </w:r>
    </w:p>
    <w:p>
      <w:pPr>
        <w:ind w:left="420"/>
      </w:pPr>
      <w:r>
        <w:t xml:space="preserve">1. im Sinne von § 30 Absatz 3, § 34 Absatz 5, § 44 Absatz 5 Satz 3 oder § 45 Absatz 7 Satz 2 des Bundesnaturschutzgesetzes,</w:t>
      </w:r>
    </w:p>
    <w:p>
      <w:pPr>
        <w:ind w:left="420"/>
      </w:pPr>
      <w:r>
        <w:t xml:space="preserve">2. nach § 9 Absatz 2 des Bundeswaldgesetzes vom 2. Mai 1975 (BGBl. I S. 1037), das zuletzt durch Artikel 1 des Gesetzes vom 17. Januar 2017 (BGBl. I S. 75) geändert worden ist, oder</w:t>
      </w:r>
    </w:p>
    <w:p>
      <w:pPr>
        <w:ind w:left="420"/>
      </w:pPr>
      <w:r>
        <w:t xml:space="preserve">3. nach den Wald- und Forstgesetzen der Länder.</w:t>
      </w:r>
    </w:p>
    <w:p>
      <w:r>
        <w:t xml:space="preserve">Soweit nicht kompensierte Beeinträchtigungen verbleiben, sollen die Ausgleichs- und Ersatzmaßnahmen jeweils auf die Wiederherstellung, Herstellung oder Neugestaltung mehrerer beeinträchtigter Funktionen des Naturhaushalts und des Landschaftsbildes gerichtet sein (Multifunktionalität), auch um die Inanspruchnahme von Flächen zu verringern.</w:t>
      </w:r>
    </w:p>
    <w:p>
      <w:r>
        <w:t xml:space="preserve">(5) Zur Deckung des Kompensationsbedarfs soll insbesondere auf bevorratete Kompensationsmaßnahmen nach den §§ 16 und 56a des Bundesnaturschutzgesetzes zurückgegriffen werden, soweit diese Maßnahmen die Anforderungen der §§ 8 und 9 erfüllen und der Rückgriff im Einzelfall, insbesondere auch in wirtschaftlicher Hinsicht, angemessen ist. Wird der Eingriff von einer Bundesbehörde durchgeführt, soll neben bevorrateten Kompensationsmaßnahmen im Sinne von Satz 1 zur Deckung des Kompensationsbedarfs unter den Voraussetzungen des Satzes 1 insbesondere auf Maßnahmen auf Flächen der öffentlichen Hand zurückgegriffen werden. Bei Vorhaben, deren Realisierung aus Gründen eines überragenden öffentlichen Bundesinteresses erforderlich ist, kann zur Deckung des Kompensationsbedarfs auch auf die durch die Bundesanstalt für Immobilienaufgaben bereitgestellten bevorrateten Kompensationsmaßnahmen zurückgegriffen werden.</w:t>
      </w:r>
    </w:p>
    <w:p>
      <w:r>
        <w:t xml:space="preserve">(6) Unter den Voraussetzungen des Absatzes 5 Satz 1 kann für Kompensationsmaßnahmen auch zurückgegriffen werden auf</w:t>
      </w:r>
    </w:p>
    <w:p>
      <w:pPr>
        <w:ind w:left="420"/>
      </w:pPr>
      <w:r>
        <w:t xml:space="preserve">1. festgelegte Entwicklungs- und Wiederherstellungsmaßnahmen</w:t>
      </w:r>
    </w:p>
    <w:p>
      <w:pPr>
        <w:ind w:left="780"/>
      </w:pPr>
      <w:r>
        <w:t xml:space="preserve">a) für den Biotopverbund im Sinne des § 20 Absatz 1 des Bundesnaturschutzgesetzes,</w:t>
      </w:r>
    </w:p>
    <w:p>
      <w:pPr>
        <w:ind w:left="780"/>
      </w:pPr>
      <w:r>
        <w:t xml:space="preserve">b) für Gebiete im Sinne des § 20 Absatz 2 Nummer 1 bis 4 des Bundesnaturschutzgesetzes und</w:t>
      </w:r>
    </w:p>
    <w:p>
      <w:pPr>
        <w:ind w:left="780"/>
      </w:pPr>
      <w:r>
        <w:t xml:space="preserve">c) in Bewirtschaftungsplänen nach § 32 Absatz 5 des Bundesnaturschutzgesetzes,</w:t>
      </w:r>
    </w:p>
    <w:p>
      <w:pPr>
        <w:ind w:left="420"/>
      </w:pPr>
      <w:r>
        <w:t xml:space="preserve">2. Maßnahmen in Maßnahmenprogrammen im Sinne des § 82 des Wasserhaushaltsgesetzes vom 31. Juli 2009 (BGBl. I S. 2585), das zuletzt durch Artikel 2 des Gesetzes vom 4. Dezember 2018 (BGBl. I S. 2254) geändert worden ist.</w:t>
      </w:r>
    </w:p>
    <w:p>
      <w:r>
        <w:t xml:space="preserve">(7) Soweit zur Deckung des Kompensationsbedarfs nicht auf Maßnahmen nach den Absätzen 5 oder 6 zurückgegriffen wird, sind – unter den Voraussetzungen des Absatzes 5 Satz 1 – Maßnahmen zur Entsiegelung, Maßnahmen zur Wiedervernetzung von Lebensräumen und Bewirtschaftungs- oder Pflegemaßnahmen zu berücksichtigen, um möglichst zu vermeiden, dass land- oder forstwirtschaftliche Flächen aus der Nutzung genommen werden.</w:t>
      </w:r>
    </w:p>
    <w:p>
      <w:r>
        <w:rPr>
          <w:color w:val="555555"/>
          <w:sz w:val="17"/>
        </w:rPr>
        <w:t xml:space="preserve">Zitiervorschlag: § 2 BKompV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https://recht.nulegal.eu/gesetze/BKompV/2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