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BKompV — Übergangsvorschriften</w:t>
      </w:r>
    </w:p>
    <w:p>
      <w:r>
        <w:rPr>
          <w:color w:val="555555"/>
          <w:sz w:val="18"/>
        </w:rPr>
        <w:t xml:space="preserve">Bundeskompensationsverordnung</w:t>
      </w:r>
    </w:p>
    <w:p>
      <w:r>
        <w:rPr>
          <w:color w:val="555555"/>
          <w:sz w:val="18"/>
        </w:rPr>
        <w:t xml:space="preserve">Stand: 03.06.2020 (konsolidierte Textfassung, kein amtliches Inkrafttretensdatum)</w:t>
      </w:r>
    </w:p>
    <w:p>
      <w:r>
        <w:t xml:space="preserve">(1) Diese Verordnung findet keine Anwendung auf Eingriffe in Natur und Landschaft,</w:t>
      </w:r>
    </w:p>
    <w:p>
      <w:pPr>
        <w:ind w:left="420"/>
      </w:pPr>
      <w:r>
        <w:t xml:space="preserve">1. deren Zulassung vor dem 3. Juni 2020 bei einer Behörde beantragt wurde, deren Anzeige vor dem 3. Juni 2020 erfolgt ist oder, für den Fall, dass sie von einer Behörde durchgeführt werden, mit deren Durchführung vor dem 3. Juni 2020 begonnen wurde oder</w:t>
      </w:r>
    </w:p>
    <w:p>
      <w:pPr>
        <w:ind w:left="420"/>
      </w:pPr>
      <w:r>
        <w:t xml:space="preserve">2. bei denen die zuständige Behörde vor dem 3. Juni 2020 Folgendes erfolgt ist:</w:t>
      </w:r>
    </w:p>
    <w:p>
      <w:pPr>
        <w:ind w:left="780"/>
      </w:pPr>
      <w:r>
        <w:t xml:space="preserve">a) die Einleitung des Verfahrens zur Feststellung der UVP-Pflicht nach § 5 des Gesetzes über die Umweltverträglichkeitsprüfung in der Fassung der Bekanntmachung vom 24. Februar 2010 (BGBl. I S. 94), das zuletzt durch Artikel 2 des Gesetzes vom 12. Dezember 2019 (BGBl. I S. 2513) geändert worden ist, oder nach entsprechenden Vorschriften des Landesrechts,</w:t>
      </w:r>
    </w:p>
    <w:p>
      <w:pPr>
        <w:ind w:left="780"/>
      </w:pPr>
      <w:r>
        <w:t xml:space="preserve">b) die Einleitung des Verfahrens zur Unterrichtung über den Untersuchungsrahmen nach § 15 Absatz 1 des Gesetzes über die Umweltverträglichkeitsprüfung oder nach entsprechenden Vorschriften des Landesrechts oder</w:t>
      </w:r>
    </w:p>
    <w:p>
      <w:pPr>
        <w:ind w:left="780"/>
      </w:pPr>
      <w:r>
        <w:t xml:space="preserve">c) die Vorlage des UVP-Berichts durch den Vorhabenträger nach § 16 des Gesetzes über die Umweltverträglichkeitsprüfung.</w:t>
      </w:r>
    </w:p>
    <w:p>
      <w:r>
        <w:t xml:space="preserve">(2) Abweichend von Absatz 1 ist diese Verordnung anzuwenden, wenn der Verursacher eines Eingriffs dies beantragt.</w:t>
      </w:r>
    </w:p>
    <w:p>
      <w:r>
        <w:t xml:space="preserve">(3) Bevorratete Kompensationsmaßnahmen nach den §§ 16 und 56a des Bundesnaturschutzgesetzes können weiterhin als Ausgleichs- oder Ersatzmaßnahmen im Sinne des § 15 Absatz 2 des Bundesnaturschutzgesetzes herangezogen werden.</w:t>
      </w:r>
    </w:p>
    <w:p>
      <w:r>
        <w:t xml:space="preserve">(4) Die Erfassung der im Einwirkungsbereich des Vorhabens liegenden Biotope erfolgt anhand der Kartieranleitung zu dieser Verordnung. Solange eine solche Kartieranleitung zu dieser Verordnung noch nicht vorliegt, soll die Erfassung der im Einwirkungsbereich des Vorhabens liegenden Biotope anhand der bereits gebräuchlichen Kartieranleitungen der jeweils von dem Vorhaben betroffenen Länder erfolgen.</w:t>
      </w:r>
    </w:p>
    <w:p>
      <w:r>
        <w:rPr>
          <w:color w:val="555555"/>
          <w:sz w:val="17"/>
        </w:rPr>
        <w:t xml:space="preserve">Zitiervorschlag: § 17 BKompV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https://recht.nulegal.eu/gesetze/BKompV/17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