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BKompV — Sicherheitsleistung für die Ersatzzahlung</w:t>
      </w:r>
    </w:p>
    <w:p>
      <w:r>
        <w:rPr>
          <w:color w:val="555555"/>
          <w:sz w:val="18"/>
        </w:rPr>
        <w:t xml:space="preserve">Bundeskompensationsverordnung</w:t>
      </w:r>
    </w:p>
    <w:p>
      <w:r>
        <w:rPr>
          <w:color w:val="555555"/>
          <w:sz w:val="18"/>
        </w:rPr>
        <w:t xml:space="preserve">Stand: 03.06.2020 (konsolidierte Textfassung, kein amtliches Inkrafttretensdatum)</w:t>
      </w:r>
    </w:p>
    <w:p>
      <w:r>
        <w:t xml:space="preserve">Setzt die zuständige Behörde eine Sicherheitsleistung für die Ersatzzahlung nach § 15 Absatz 6 Satz 6 zweiter Halbsatz des Bundesnaturschutzgesetzes in Art und Umfang fest, kann sie neben den in § 232 des Bürgerlichen Gesetzbuches in der Fassung der Bekanntmachung vom 2. Januar 2002 (BGBl. I S. 42, 2909; 2003 I S. 738), das zuletzt durch Artikel 1 des Gesetzes vom 19. März 2020 (BGBl. I S. 541) geändert worden ist, vorgesehenen Arten der Sicherheit zulassen, dass die Sicherheit bewirkt wird durch</w:t>
      </w:r>
    </w:p>
    <w:p>
      <w:pPr>
        <w:ind w:left="420"/>
      </w:pPr>
      <w:r>
        <w:t xml:space="preserve">1. die Stellung einer Konzernbürgschaft,</w:t>
      </w:r>
    </w:p>
    <w:p>
      <w:pPr>
        <w:ind w:left="420"/>
      </w:pPr>
      <w:r>
        <w:t xml:space="preserve">2. eine Garantie oder ein Zahlungsversprechen eines Kreditinstituts oder</w:t>
      </w:r>
    </w:p>
    <w:p>
      <w:pPr>
        <w:ind w:left="420"/>
      </w:pPr>
      <w:r>
        <w:t xml:space="preserve">3. eine gleichwertige Sicherheit.</w:t>
      </w:r>
    </w:p>
    <w:p>
      <w:r>
        <w:rPr>
          <w:color w:val="555555"/>
          <w:sz w:val="17"/>
        </w:rPr>
        <w:t xml:space="preserve">Zitiervorschlag: § 16 BKompV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https://recht.nulegal.eu/gesetze/BKompV/16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