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BKompV — Bewertung und Ersatzgeldbemessung für Windenergieanlagen auf See</w:t>
      </w:r>
    </w:p>
    <w:p>
      <w:r>
        <w:rPr>
          <w:color w:val="555555"/>
          <w:sz w:val="18"/>
        </w:rPr>
        <w:t xml:space="preserve">Bundeskompensationsverordnung</w:t>
      </w:r>
    </w:p>
    <w:p>
      <w:r>
        <w:rPr>
          <w:color w:val="555555"/>
          <w:sz w:val="18"/>
        </w:rPr>
        <w:t xml:space="preserve">Stand: 24.12.2025 (konsolidierte Textfassung, kein amtliches Inkrafttretensdatum)</w:t>
      </w:r>
    </w:p>
    <w:p>
      <w:r>
        <w:t xml:space="preserve">(1) Für die Errichtung und den Betrieb von Windenergieanlagen auf See einschließlich der hierfür erforderlichen Nebeneinrichtungen im Bereich der ausschließlichen Wirtschaftszone und des Festlandsockels sind die folgenden Maßgaben anzuwenden:</w:t>
      </w:r>
    </w:p>
    <w:p>
      <w:pPr>
        <w:ind w:left="420"/>
      </w:pPr>
      <w:r>
        <w:t xml:space="preserve">1. Soweit eine Sicherheitszone nach § 74 des Windenergie-auf-See-Gesetzes vom 13. Oktober 2016 (BGBl. I S. 2258, 2310), das zuletzt durch Artikel 1 des Gesetzes vom 22. Dezember 2025 (BGBl. 2025 I Nr. 351) geändert worden ist, eingerichtet wird, in der die Fischerei während der gesamten Betriebsdauer ausgeschlossen wird, gelten die Beeinträchtigungen der Schutzgüter Biotope und Boden einschließlich der darin vorkommenden Pflanzen und Tiere als auch der Schutzgüter Wasser und Luft als kompensiert. Unter den Voraussetzungen des Satzes 1 gilt dies auch für Beeinträchtigungen der in Satz 1 genannten Schutzgüter durch Konverter, deren Sicherheitszone eine Schnittmenge mit den von Satz 1 erfassten Sicherheitszonen aufweist. Die Erlaubnis passiver Fischerei mit Reusen und Körben außerhalb des Bereichs der Sicherheitszone, in dem sich die Anlagen selbst befinden, bleibt von Satz 1 unberührt.</w:t>
      </w:r>
    </w:p>
    <w:p>
      <w:pPr>
        <w:ind w:left="420"/>
      </w:pPr>
      <w:r>
        <w:t xml:space="preserve">2. Für Anlagen in einem Cluster im Sinne von § 3 Nummer 1 und in einem Gebiet im Sinne von § 3 Nummer 3 des Windenergie-auf-See-Gesetzes verringert sich abweichend von § 14 Absatz 3 Satz 2 die nach § 14 Absatz 2 errechnete Ersatzzahlung um 35 Prozent.</w:t>
      </w:r>
    </w:p>
    <w:p>
      <w:pPr>
        <w:ind w:left="420"/>
      </w:pPr>
      <w:r>
        <w:t xml:space="preserve">3. Bei der Bemessung des Ersatzgeldes nach § 14 Absatz 2 Nummer 1 ist für das beeinträchtigte Landschaftsbild die Wertstufe 2 nach § 14 Absatz 2 Nummer 1 Buchstabe a zugrunde zu legen.</w:t>
      </w:r>
    </w:p>
    <w:p>
      <w:r>
        <w:t xml:space="preserve">(2) Die Geltung dieser Verordnung für die Vermeidung und Kompensation von Eingriffen im Bereich der ausschließlichen Wirtschaftszone und des Festlandsockels bleibt im Übrigen unberührt.</w:t>
      </w:r>
    </w:p>
    <w:p>
      <w:r>
        <w:rPr>
          <w:color w:val="555555"/>
          <w:sz w:val="17"/>
        </w:rPr>
        <w:t xml:space="preserve">Zitiervorschlag: § 15 BKompV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https://recht.nulegal.eu/gesetze/BKompV/15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