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BKompV — Voraussetzungen der Ersatzzahlung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(1) Beeinträchtigungen des Naturhaushalts oder des Landschaftsbildes sind im Sinne des § 15 Absatz 6 Satz 1 des Bundesnaturschutzgesetzes nicht in angemessener Frist ausgleichbar oder ersetzbar, soweit die Anforderungen der §§ 8 und 9 aus tatsächlichen oder rechtlichen Gründen nicht erfüllt werden können. Dies ist insbesondere der Fall, wenn</w:t>
      </w:r>
    </w:p>
    <w:p>
      <w:pPr>
        <w:ind w:left="420"/>
      </w:pPr>
      <w:r>
        <w:t xml:space="preserve">1. die betroffene Funktion durch Ausgleichs- oder Ersatzmaßnahmen nicht oder nur unter unzumutbaren Belastungen herstellbar ist oder</w:t>
      </w:r>
    </w:p>
    <w:p>
      <w:pPr>
        <w:ind w:left="420"/>
      </w:pPr>
      <w:r>
        <w:t xml:space="preserve">2. Flächen, auf denen die Maßnahmen durchgeführt werden können, im betroffenen Naturraum nicht vorhanden oder nicht verfügbar sind.</w:t>
      </w:r>
    </w:p>
    <w:p>
      <w:r>
        <w:t xml:space="preserve">(2) Beeinträchtigungen des Landschaftsbildes, die von Mast-, Turm- oder sonstigen Hochbauten verursacht werden, die höher als 20 Meter sind, sind in der Regel nicht ausgleichbar oder ersetzbar. Abweichend von Satz 1 ist der Rückbau bestehender Mast- und Turmbauten im räumlichen Zusammenhang als Ausgleichs- und Ersatzmaßnahme anzuerkennen.</w:t>
      </w:r>
    </w:p>
    <w:p>
      <w:r>
        <w:t xml:space="preserve">(3) Der Verursacher des Eingriffs hat die Gründe für die Nichtausgleichbarkeit oder Nichtersetzbarkeit von erheblichen Beeinträchtigungen des Naturhaushalts oder des Landschaftsbildes im Rahmen der Angaben nach § 17 Absatz 4 des Bundesnaturschutzgesetzes darzulegen.</w:t>
      </w:r>
    </w:p>
    <w:p>
      <w:r>
        <w:rPr>
          <w:color w:val="555555"/>
          <w:sz w:val="17"/>
        </w:rPr>
        <w:t xml:space="preserve">Zitiervorschlag: § 13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