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BKompV — Unterhaltung und rechtliche Sicherung; Übertragung auf Einrichtungen</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Die während des nach § 15 Absatz 4 Satz 2 des Bundesnaturschutzgesetzes festgesetzten Zeitraums erforderliche Unterhaltung von Ausgleichs- und Ersatzmaßnahmen umfasst die zur Entwicklung und Erhaltung erforderliche Pflege. Der Unterhaltungszeitraum richtet sich nach der für die Erreichung des Kompensationsziels erforderlichen Dauer; er überschreitet in der Regel die Dauer von 25 Jahren nicht.</w:t>
      </w:r>
    </w:p>
    <w:p>
      <w:r>
        <w:t xml:space="preserve">(2) Die zuständige Behörde entscheidet über die Art und Weise der rechtlichen Sicherung der Ausgleichs- und Ersatzmaßnahmen einschließlich der erforderlichen Unterhaltungsmaßnahmen nach pflichtgemäßem Ermessen. Maßnahmen, die auf Grundstücken der öffentlichen Hand durchgeführt werden sollen, bedürfen keiner dinglichen Sicherung. Maßnahmen, die auf Grundstücken des Verursachers eines Eingriffs durchgeführt werden sollen, bedürfen in der Regel keiner dinglichen Sicherung. Die rechtliche Sicherung hat so lange zu erfolgen, wie die durch den Eingriff verursachten Beeinträchtigungen des Naturhaushalts und des Landschaftsbildes andauern.</w:t>
      </w:r>
    </w:p>
    <w:p>
      <w:r>
        <w:t xml:space="preserve">(3) Der Verursacher eines Eingriffs kann die Durchführung von Ausgleichs- und Ersatzmaßnahmen einschließlich der erforderlichen Unterhaltungsmaßnahmen durch Vertrag auf eine Einrichtung übertragen, die die Durchführung der Maßnahmen während des erforderlichen Zeitraums gewährleistet. Einrichtungen im Sinne des Satzes 1, denen die Durchführung von Maßnahmen im Zusammenhang mit Vorhaben, die vom Anwendungsbereich dieser Verordnung erfasst sind, übertragen werden kann, sind die Bundesanstalt für Immobilienaufgaben sowie nach Landesrecht anerkannte Einrichtungen.</w:t>
      </w:r>
    </w:p>
    <w:p>
      <w:r>
        <w:rPr>
          <w:color w:val="555555"/>
          <w:sz w:val="17"/>
        </w:rPr>
        <w:t xml:space="preserve">Zitiervorschlag: § 12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