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BKompV — Bewirtschaftungs- oder Pflegemaßnahmen; Entsiegelung und Wiedervernetzung</w:t>
      </w:r>
    </w:p>
    <w:p>
      <w:r>
        <w:rPr>
          <w:color w:val="555555"/>
          <w:sz w:val="18"/>
        </w:rPr>
        <w:t xml:space="preserve">Bundeskompensationsverordnung</w:t>
      </w:r>
    </w:p>
    <w:p>
      <w:r>
        <w:rPr>
          <w:color w:val="555555"/>
          <w:sz w:val="18"/>
        </w:rPr>
        <w:t xml:space="preserve">Stand: 03.06.2020 (konsolidierte Textfassung, kein amtliches Inkrafttretensdatum)</w:t>
      </w:r>
    </w:p>
    <w:p>
      <w:r>
        <w:t xml:space="preserve">(1) Bewirtschaftungs- oder Pflegemaßnahmen, die in Anlage 6 Abschnitt A Spalte 1 aufgeführt sind, werden unter regelmäßiger Beachtung der in Anlage 6 Abschnitt A Spalte 2 genannten Anforderungen festgesetzt.</w:t>
      </w:r>
    </w:p>
    <w:p>
      <w:r>
        <w:t xml:space="preserve">(2) Maßnahmen zur Entsiegelung werden unter Beachtung der Anlage 6 Abschnitt B festgesetzt. Sie dienen insbesondere dazu, eingriffsbedingte Neuversiegelungen und damit verbundene Beeinträchtigungen der natürlichen Bodenfunktionen auszugleichen oder zu ersetzen.</w:t>
      </w:r>
    </w:p>
    <w:p>
      <w:r>
        <w:t xml:space="preserve">(3) Maßnahmen zur Wiedervernetzung von Lebensräumen werden unter Beachtung der Anlage 6 Abschnitt C festgesetzt. Sie dienen insbesondere dazu, bestehende Beeinträchtigungen der ökologischen Austauschbeziehungen sowie des räumlichen Zusammenhangs von Lebensräumen zu verringern.</w:t>
      </w:r>
    </w:p>
    <w:p>
      <w:r>
        <w:rPr>
          <w:color w:val="555555"/>
          <w:sz w:val="17"/>
        </w:rPr>
        <w:t xml:space="preserve">Zitiervorschlag: § 11 BKompV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https://recht.nulegal.eu/gesetze/BKompV/11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