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BKompV — Berücksichtigung agrarstruktureller Belange</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Soweit agrarstrukturelle Belange im Sinne des § 15 Absatz 3 Satz 1 des Bundesnaturschutzgesetzes betroffen sein können, beteiligt die zuständige Behörde bei der Prüfung der Geeignetheit der Flächen für Ausgleichs- oder Ersatzmaßnahmen die zuständigen Landwirtschafts- und Forstbehörden. Agrarstrukturelle Belange sind insbesondere betroffen, wenn eine erhebliche Verminderung der land- oder forstwirtschaftlich genutzten Gesamtfläche oder eine wesentliche Veränderung der für die Land- oder Forstwirtschaft erforderlichen Infrastruktureinrichtungen zu erwarten ist.</w:t>
      </w:r>
    </w:p>
    <w:p>
      <w:r>
        <w:t xml:space="preserve">(2) Für die landwirtschaftliche Nutzung besonders geeignete Böden im Sinne des § 15 Absatz 3 Satz 1 des Bundesnaturschutzgesetzes sind die Böden, die nach vorhandenen Informationen über den jeweiligen Landkreis oder die jeweilige kreisfreie Stadt, auf dessen oder auf deren Gebiet die Böden liegen, eine besonders hohe Nutzbarkeit aufweisen. Die Bewertung der Nutzbarkeit richtet sich nach der Bodenfruchtbarkeit gemessen an den Acker- und Grünlandzahlen nach dem Bodenschätzungsgesetz vom 20. Dezember 2007 (BGBl. I S. 3150, 3176), das zuletzt durch Artikel 15 des Gesetzes vom 26. November 2019 (BGBl. I S. 1794) geändert worden ist. In die Bewertung sollen weitere Kriterien wie die Größe und der Zuschnitt der Flächen, deren äußere und innere Erschließung sowie weitere natürliche Ertragsbedingungen einbezogen werden, wenn für die Kriterien ein behördliches Konzept vorliegt.</w:t>
      </w:r>
    </w:p>
    <w:p>
      <w:r>
        <w:t xml:space="preserve">(3) Eine Inanspruchnahme von für die landwirtschaftliche Nutzung besonders geeigneten Böden kann nur erfolgen, nachdem geprüft wurde, ob der Ausgleich oder Ersatz auch durch Maßnahmen zur Entsiegelung, durch Maßnahmen zur Wiedervernetzung von Lebensräumen oder durch Bewirtschaftungs- oder Pflegemaßnahmen erbracht werden kann. Sie bedarf einer Begründung im Rahmen der Angaben nach § 17 Absatz 4 des Bundesnaturschutzgesetzes.</w:t>
      </w:r>
    </w:p>
    <w:p>
      <w:r>
        <w:rPr>
          <w:color w:val="555555"/>
          <w:sz w:val="17"/>
        </w:rPr>
        <w:t xml:space="preserve">Zitiervorschlag: § 10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