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bisherigen Träger der Knappschaftsversicherung und die Arbeitsgemeinschaft der Knappschaften sind mit Inkrafttreten dieses Gesetzes aufgelöst.</w:t>
      </w:r>
    </w:p>
    <w:p>
      <w:r>
        <w:t xml:space="preserve">(2) Mit dem Tag der Auflösung gehen ihre Vermögen (Eigentum und andere Vermögensrechte) sowie ihre Verbindlichkeiten auf die Bundesknappschaft über. Satz 1 gilt nicht für Verbindlichkeiten zwischen dem Bund und den bisherigen Trägern der Knappschaftsversicherung aus dem Bereich der knappschaftlichen Rentenversicherung mit Ausnahme von Verbindlichkeiten des Bundes nach § 128 des Reichsknappschaftsgesetzes. §§ 2, 3 Abs. 2 und 3 und §§ 5 bis 7 dieses Artikels gelten entsprechend.</w:t>
      </w:r>
    </w:p>
    <w:p>
      <w:r>
        <w:rPr>
          <w:color w:val="555555"/>
          <w:sz w:val="17"/>
        </w:rPr>
        <w:t xml:space="preserve">Zitiervorschlag: § 9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