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Geschäfte und Verhandlungen, die der Durchführung der §§ 2 bis 6 dieses Artikels dienen, einschließlich der Berichtigung der öffentlichen Bücher, sind frei von Gebühren, Steuern und Auslagen; dies gilt auch für Beurkundungs- und Beglaubigungsgebühren, nicht aber für die Kosten eines Rechtsstreits.</w:t>
      </w:r>
    </w:p>
    <w:p>
      <w:r>
        <w:t xml:space="preserve">(2) Die Gebühren-, Steuer- und Auslagenfreiheit ist von der zuständigen Behörde ohne Nachprüfung anzuerkennen, wenn die Bundesknappschaft bestätigt, daß die Maßnahme der Durchführung der §§ 2 bis 6 dieses Artikels dient.</w:t>
      </w:r>
    </w:p>
    <w:p>
      <w:r>
        <w:rPr>
          <w:color w:val="555555"/>
          <w:sz w:val="17"/>
        </w:rPr>
        <w:t xml:space="preserve">Zitiervorschlag: § 7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