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BKnEG</w:t>
      </w:r>
    </w:p>
    <w:p>
      <w:r>
        <w:rPr>
          <w:color w:val="555555"/>
          <w:sz w:val="18"/>
        </w:rPr>
        <w:t xml:space="preserve">Bundesknappschaft-Errichtungsgesetz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Verlangen ist der Bundesknappschaft Auskunft über die in den §§ 2 bis 4 dieses Artikels bezeichneten Vermögensverhältnisse zu erteilen.</w:t>
      </w:r>
    </w:p>
    <w:p>
      <w:r>
        <w:rPr>
          <w:color w:val="555555"/>
          <w:sz w:val="17"/>
        </w:rPr>
        <w:t xml:space="preserve">Zitiervorschlag: § 5 BKnEG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https://recht.nulegal.eu/gesetze/BKnEG/5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