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Verbindlichkeiten, die mit dem Vermögen nach § 2 dieses Artikels in rechtlichem oder wirtschaftlichem Zusammenhang stehen, gehen vorbehaltlich der Regelungen in zwischenstaatlichen Abkommen auf die Bundesknappschaft über. Satz 1 gilt entsprechend für Verbindlichkeiten aus Verträgen mit Sprengelärzten oder anderen Ärzten über die Gewährung von Alters- und Hinterbliebenenversorgung, sofern der Anspruchsberechtigte seinen Wohnsitz oder ständigen Aufenthalt im Geltungsbereich dieses Gesetzes hat.</w:t>
      </w:r>
    </w:p>
    <w:p>
      <w:r>
        <w:t xml:space="preserve">(2) Durch den Übergang der Verbindlichkeiten werden die Rechte des Gläubigers, besonders seine Ansprüche gegen einen Bürgen sowie seine Rechte aus einem Pfandrecht, einer Hypothek oder einer anderen Sicherheit nicht berührt. § 418 des Bürgerlichen Gesetzbuchs gilt nicht.</w:t>
      </w:r>
    </w:p>
    <w:p>
      <w:r>
        <w:t xml:space="preserve">(3) Dingliche Rechte an Grundstücken, Sachen und Rechten, die unter § 2 Abs. 1 und 2 dieses Artikels fallen, bleiben bestehen.</w:t>
      </w:r>
    </w:p>
    <w:p>
      <w:r>
        <w:rPr>
          <w:color w:val="555555"/>
          <w:sz w:val="17"/>
        </w:rPr>
        <w:t xml:space="preserve">Zitiervorschlag: § 3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