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ersten Tag des auf seine Verkündung folgenden Monats in Kraft.</w:t>
      </w:r>
    </w:p>
    <w:p>
      <w:r>
        <w:t xml:space="preserve">(2) Mit dem Inkrafttreten dieses Gesetzes treten alle diesem Gesetz entgegenstehenden oder gleichlautenden Vorschriften außer Kraft, insbesondere ...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26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