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03.07.2020 (konsolidierte Textfassung, kein amtliches Inkrafttretensdatum)</w:t>
      </w:r>
    </w:p>
    <w:p>
      <w:r>
        <w:t xml:space="preserve">(1) Die Bundesknappschaft ist entsprechende Einrichtung im Sinne des § 61 des Gesetzes zur Regelung der Rechtsverhältnisse der unter Artikel 131 des Grundgesetzes fallenden Personen gegenüber</w:t>
      </w:r>
    </w:p>
    <w:p>
      <w:pPr>
        <w:ind w:left="420"/>
      </w:pPr>
      <w:r>
        <w:t xml:space="preserve">1. der Reichsknappschaft,</w:t>
      </w:r>
    </w:p>
    <w:p>
      <w:pPr>
        <w:ind w:left="420"/>
      </w:pPr>
      <w:r>
        <w:t xml:space="preserve">2. der Zentralbruderlade in Prag,</w:t>
      </w:r>
    </w:p>
    <w:p>
      <w:pPr>
        <w:ind w:left="420"/>
      </w:pPr>
      <w:r>
        <w:t xml:space="preserve">3. der Sozialversicherungsanstalt Topoltschan,</w:t>
      </w:r>
    </w:p>
    <w:p>
      <w:pPr>
        <w:ind w:left="420"/>
      </w:pPr>
      <w:r>
        <w:t xml:space="preserve">4. der Bruderlade Jugoslawien,</w:t>
      </w:r>
    </w:p>
    <w:p>
      <w:pPr>
        <w:ind w:left="420"/>
      </w:pPr>
      <w:r>
        <w:t xml:space="preserve">5. der Bruderlade Rumänien,</w:t>
      </w:r>
    </w:p>
    <w:p>
      <w:pPr>
        <w:ind w:left="420"/>
      </w:pPr>
      <w:r>
        <w:t xml:space="preserve">6. der Bruderlade Ungarn,</w:t>
      </w:r>
    </w:p>
    <w:p>
      <w:pPr>
        <w:ind w:left="420"/>
      </w:pPr>
      <w:r>
        <w:t xml:space="preserve">7. dem Pensionsinstitut der Ferdinands-Nordbahn in Mährisch-Ostrau</w:t>
      </w:r>
    </w:p>
    <w:p>
      <w:r>
        <w:t xml:space="preserve">(Nummern 8 und 12 der Anlage A zu § 2 Abs. 1 des Gesetzes).</w:t>
      </w:r>
    </w:p>
    <w:p>
      <w:r>
        <w:t xml:space="preserve">(2) Der Bundesminister des Innern, für Bau und Heimat wird ermächtigt, durch Rechtsverordnung mit Zustimmung des Bundesrates erst nach Verkündung dieses Gesetzes ermittelte Einrichtungen der Anlage A zu § 2 Abs. 1 des in Absatz 1 bezeichneten Gesetzes in die in Absatz 1 enthaltene Regelung einzubeziehen.</w:t>
      </w:r>
    </w:p>
    <w:p>
      <w:r>
        <w:t xml:space="preserve">(3) Auf Angestellte und Arbeiter, die am 8. Mai 1945 bei Dienststellen der Reichsknappschaft im Geltungsbereich dieses Gesetzes beschäftigt waren und</w:t>
      </w:r>
    </w:p>
    <w:p>
      <w:pPr>
        <w:ind w:left="420"/>
      </w:pPr>
      <w:r>
        <w:t xml:space="preserve">1. ihren Arbeitsplatz aus anderen als dienstordnungs- oder tarifrechtlichen Gründen verloren haben und nicht ihrer früheren Rechtsstellung entsprechend wiederverwendet worden sind oder</w:t>
      </w:r>
    </w:p>
    <w:p>
      <w:pPr>
        <w:ind w:left="420"/>
      </w:pPr>
      <w:r>
        <w:t xml:space="preserve">2. vor Inkrafttreten des in Absatz 1 bezeichneten Gesetzes das fünfundsechzigste Lebensjahr vollendet haben oder dienstunfähig geworden sind und aus anderen als dienstordnungs- oder tarifrechtlichen Gründen keine oder keine entsprechende Versorgung erhielten,</w:t>
      </w:r>
    </w:p>
    <w:p>
      <w:r>
        <w:t xml:space="preserve">sowie auf deren Hinterbliebene ist § 62 des in Absatz 1 bezeichneten Gesetzes entsprechend anzuwenden.</w:t>
      </w:r>
    </w:p>
    <w:p>
      <w:r>
        <w:t xml:space="preserve">(4) Oberste Dienstbehörde für die Anwendung der Absätze 1 und 3 ist der Vorstand der Bundesknappschaft.</w:t>
      </w:r>
    </w:p>
    <w:p>
      <w:r>
        <w:rPr>
          <w:color w:val="555555"/>
          <w:sz w:val="17"/>
        </w:rPr>
        <w:t xml:space="preserve">Zitiervorschlag: § 16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