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BKleingG — Kleingarten und Gartenlaube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Kleingarten soll nicht größer als 400 Quadratmeter sein. Die Belange des Umweltschutzes, des Naturschutzes und der Landschaftspflege sollen bei der Nutzung und Bewirtschaftung des Kleingartens berücksichtigt werden.</w:t>
      </w:r>
    </w:p>
    <w:p>
      <w:r>
        <w:t xml:space="preserve">(2) Im Kleingarten ist eine Laube in einfacher Ausführung mit höchstens 24 Quadratmetern Grundfläche einschließlich überdachtem Freisitz zulässig; die §§ 29 bis 36 des Baugesetzbuchs bleiben unberührt. Sie darf nach ihrer Beschaffenheit, insbesondere nach ihrer Ausstattung und Einrichtung, nicht zum dauernden Wohnen geeignet sein.</w:t>
      </w:r>
    </w:p>
    <w:p>
      <w:r>
        <w:t xml:space="preserve">(3) Die Absätze 1 und 2 gelten entsprechend für Eigentümergärten.</w:t>
      </w:r>
    </w:p>
    <w:p>
      <w:r>
        <w:rPr>
          <w:color w:val="555555"/>
          <w:sz w:val="17"/>
        </w:rPr>
        <w:t xml:space="preserve">Zitiervorschlag: § 3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https://recht.nulegal.eu/gesetze/BKleingG/3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