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BKleingG — Überleitungsregelungen aus Anlaß der Herstellung der Einheit Deutschlands</w:t>
      </w:r>
    </w:p>
    <w:p>
      <w:r>
        <w:rPr>
          <w:color w:val="555555"/>
          <w:sz w:val="18"/>
        </w:rPr>
        <w:t xml:space="preserve">Bundeskleingartengesetz</w:t>
      </w:r>
    </w:p>
    <w:p>
      <w:r>
        <w:rPr>
          <w:color w:val="555555"/>
          <w:sz w:val="18"/>
        </w:rPr>
        <w:t xml:space="preserve">Stand: 10.06.2019 (konsolidierte Textfassung, kein amtliches Inkrafttretensdatum)</w:t>
      </w:r>
    </w:p>
    <w:p>
      <w:r>
        <w:t xml:space="preserve">In dem in Artikel 3 des Einigungsvertrages genannten Gebiet ist dieses Gesetz mit folgenden Maßgaben anzuwenden:</w:t>
      </w:r>
    </w:p>
    <w:p>
      <w:pPr>
        <w:ind w:left="420"/>
      </w:pPr>
      <w:r>
        <w:t xml:space="preserve">1. Kleingartennutzungsverhältnisse, die vor dem Wirksamwerden des Beitritts begründet worden und nicht beendet sind, richten sich von diesem Zeitpunkt an nach diesem Gesetz.</w:t>
      </w:r>
    </w:p>
    <w:p>
      <w:pPr>
        <w:ind w:left="420"/>
      </w:pPr>
      <w:r>
        <w:t xml:space="preserve">2. Vor dem Wirksamwerden des Beitritts geschlossene Nutzungsverträge über Kleingärten sind wie Kleingartenpachtverträge über Dauerkleingärten zu behandeln, wenn die Gemeinde bei Wirksamwerden des Beitritts Eigentümerin der Grundstücke ist oder nach diesem Zeitpunkt das Eigentum an diesen Grundstücken erwirbt.</w:t>
      </w:r>
    </w:p>
    <w:p>
      <w:pPr>
        <w:ind w:left="420"/>
      </w:pPr>
      <w:r>
        <w:t xml:space="preserve">3. Bei Nutzungsverträgen über Kleingärten, die nicht im Eigentum der Gemeinde stehen, verbleibt es bei der vereinbarten Nutzungsdauer. Sind die Kleingärten im Bebauungsplan als Flächen für Dauerkleingärten festgesetzt worden, gilt der Vertrag als auf unbestimmte Zeit verlängert. Hat die Gemeinde vor Ablauf der vereinbarten Nutzungsdauer beschlossen, einen Bebauungsplan aufzustellen mit dem Ziel, die Fläche für Dauerkleingärten festzusetzen, und den Beschluß nach § 2 Abs. 1 Satz 2 des Baugesetzbuchs bekannt gemacht, verlängert sich der Vertrag vom Zeitpunkt der Bekanntmachung an um sechs Jahre. Vom Zeitpunkt der Rechtsverbindlichkeit des Bebauungsplans an sind die Vorschriften über Dauerkleingärten anzuwenden. Unter den in § 8 Abs. 4 Satz 1 des Baugesetzbuchs genannten Voraussetzungen kann ein vorzeitiger Bebauungsplan aufgestellt werden.</w:t>
      </w:r>
    </w:p>
    <w:p>
      <w:pPr>
        <w:ind w:left="420"/>
      </w:pPr>
      <w:r>
        <w:t xml:space="preserve">4. Die vor dem Wirksamwerden des Beitritts Kleingärtnerorganisationen verliehene Befugnis, Grundstücke zum Zwecke der Vergabe an Kleingärtner anzupachten, kann unter den für die Aberkennung der kleingärtnerischen Gemeinnützigkeit geltenden Voraussetzungen entzogen werden. Das Verfahren der Anerkennung und des Entzugs der kleingärtnerischen Gemeinnützigkeit regeln die Länder.</w:t>
      </w:r>
    </w:p>
    <w:p>
      <w:pPr>
        <w:ind w:left="420"/>
      </w:pPr>
      <w:r>
        <w:t xml:space="preserve">5. Anerkennungen der kleingärtnerischen Gemeinnützigkeit, die vor dem Wirksamwerden des Beitritts ausgesprochen worden sind, bleiben unberührt.</w:t>
      </w:r>
    </w:p>
    <w:p>
      <w:pPr>
        <w:ind w:left="420"/>
      </w:pPr>
      <w:r>
        <w:t xml:space="preserve">6. Die bei Inkrafttreten des Gesetzes zur Änderung des Bundeskleingartengesetzes zu leistende Pacht kann bis zur Höhe der nach § 5 Abs. 1 zulässigen Höchstpacht in folgenden Schritten erhöht werden:</w:t>
      </w:r>
    </w:p>
    <w:p>
      <w:pPr>
        <w:ind w:left="780"/>
      </w:pPr>
      <w:r>
        <w:t xml:space="preserve">1. ab 1. Mai 1994 auf das Doppelte,</w:t>
      </w:r>
    </w:p>
    <w:p>
      <w:pPr>
        <w:ind w:left="780"/>
      </w:pPr>
      <w:r>
        <w:t xml:space="preserve">2. ab 1. Januar 1996 auf das Dreifache,</w:t>
      </w:r>
    </w:p>
    <w:p>
      <w:pPr>
        <w:ind w:left="780"/>
      </w:pPr>
      <w:r>
        <w:t xml:space="preserve">3. ab 1. Januar 1998 auf das Vierfache</w:t>
      </w:r>
    </w:p>
    <w:p>
      <w:pPr>
        <w:ind w:left="420"/>
      </w:pPr>
      <w:r>
        <w:t xml:space="preserve">der ortsüblichen Pacht im erwerbsmäßigen Obst- und Gemüseanbau. Liegt eine ortsübliche Pacht im erwerbsmäßigen Obst- und Gemüseanbau nicht vor, ist die entsprechende Pacht in einer vergleichbaren Gemeinde als Bemessungsgrundlage zugrunde zu legen. Bis zum 1. Januar 1998 geltend gemachte Erstattungsbeträge gemäß § 5 Abs. 5 Satz 3 können vom Pächter in Teilleistungen, höchstens in acht Jahresleistungen, entrichtet werden.</w:t>
      </w:r>
    </w:p>
    <w:p>
      <w:pPr>
        <w:ind w:left="420"/>
      </w:pPr>
      <w:r>
        <w:t xml:space="preserve">7. Vor dem Wirksamwerden des Beitritts rechtmäßig errichtete Gartenlauben, die die in § 3 Abs. 2 vorgesehene Größe überschreiten, oder andere der kleingärtnerischen Nutzung dienende bauliche Anlagen können unverändert genutzt werden. Die Kleintierhaltung in Kleingartenanlagen bleibt unberührt, soweit sie die Kleingärtnergemeinschaft nicht wesentlich stört und der kleingärtnerischen Nutzung nicht widerspricht.</w:t>
      </w:r>
    </w:p>
    <w:p>
      <w:pPr>
        <w:ind w:left="420"/>
      </w:pPr>
      <w:r>
        <w:t xml:space="preserve">8. Eine vor dem Wirksamwerden des Beitritts bestehende Befugnis des Kleingärtners, seine Laube dauernd zu Wohnzwecken zu nutzen, bleibt unberührt, soweit andere Vorschriften der Wohnnutzung nicht entgegenstehen. Für die dauernde Nutzung der Laube kann der Verpächter zusätzlich ein angemessenes Entgelt verlangen.</w:t>
      </w:r>
    </w:p>
    <w:p>
      <w:r>
        <w:rPr>
          <w:color w:val="555555"/>
          <w:sz w:val="17"/>
        </w:rPr>
        <w:t xml:space="preserve">Zitiervorschlag: § 20a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