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BKleingG — Aufhebung von Vorschriften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Inkrafttreten dieses Gesetzes treten außer Kraft: 1. - 9.</w:t>
      </w:r>
    </w:p>
    <w:p>
      <w:pPr>
        <w:ind w:left="420"/>
      </w:pPr>
      <w:r>
        <w:t xml:space="preserve">10. Hamburg: Verordnung über Pachtpreise für Kleingärten vom 28. März 1961 (Hamburgisches Gesetz- und Verordnungsbl. S. 115), geändert durch die Verordnung zur Änderung der Verordnung über Pachtpreise für Kleingärten vom 18. Februar 1969 (Hamburgisches Gesetz- und Verordnungsbl. S. 22);</w:t>
      </w:r>
    </w:p>
    <w:p>
      <w:r>
        <w:t xml:space="preserve">11. - 13.</w:t>
      </w:r>
    </w:p>
    <w:p>
      <w:r>
        <w:t xml:space="preserve">(2) Mit Inkrafttreten dieses Gesetzes erlöschen beschränkte persönliche Dienstbarkeiten, die aufgrund von § 5 Abs. 1 Satz 5 des nach Absatz 1 Nr. 12 außer Kraft tretenden Kleingartengesetzes von Schleswig-Holstein im Grundbuch eingetragen worden sind. Für die Berichtigung des Grundbuchs werden Kosten nicht erhoben.</w:t>
      </w:r>
    </w:p>
    <w:p>
      <w:r>
        <w:rPr>
          <w:color w:val="555555"/>
          <w:sz w:val="17"/>
        </w:rPr>
        <w:t xml:space="preserve">Zitiervorschlag: § 20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