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BKleingG — Kleingärtnerische Gemeinnützigkeit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Kleingärtnerorganisation wird von der zuständigen Landesbehörde als gemeinnützig anerkannt, wenn sie im Vereinsregister eingetragen ist, sich der regelmäßigen Prüfung der Geschäftsführung unterwirft und wenn die Satzung bestimmt, daß</w:t>
      </w:r>
    </w:p>
    <w:p>
      <w:pPr>
        <w:ind w:left="420"/>
      </w:pPr>
      <w:r>
        <w:t xml:space="preserve">1. die Organisation ausschließlich oder überwiegend die Förderung des Kleingartenwesens sowie die fachliche Betreuung ihrer Mitglieder bezweckt,</w:t>
      </w:r>
    </w:p>
    <w:p>
      <w:pPr>
        <w:ind w:left="420"/>
      </w:pPr>
      <w:r>
        <w:t xml:space="preserve">2. erzielte Einnahmen kleingärtnerischen Zwecken zugeführt werden und</w:t>
      </w:r>
    </w:p>
    <w:p>
      <w:pPr>
        <w:ind w:left="420"/>
      </w:pPr>
      <w:r>
        <w:t xml:space="preserve">3. bei der Auflösung der Organisation deren Vermögen für kleingärtnerische Zwecke verwendet wird.</w:t>
      </w:r>
    </w:p>
    <w:p>
      <w:r>
        <w:rPr>
          <w:color w:val="555555"/>
          <w:sz w:val="17"/>
        </w:rPr>
        <w:t xml:space="preserve">Zitiervorschlag: § 2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