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BKleingG — Überleitungsvorschriften für Lauben</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Vor Inkrafttreten dieses Gesetzes rechtmäßig errichtete Lauben, die die in § 3 Abs. 2 vorgesehene Größe überschreiten, können unverändert genutzt werden.</w:t>
      </w:r>
    </w:p>
    <w:p>
      <w:r>
        <w:t xml:space="preserve">(2) Eine bei Inkrafttreten dieses Gesetzes bestehende Befugnis des Kleingärtners, seine Laube zu Wohnzwecken zu nutzen, bleibt unberührt, soweit andere Vorschriften der Wohnnutzung nicht entgegenstehen. Für die Nutzung der Laube kann der Verpächter zusätzlich ein angemessenes Entgelt verlangen.</w:t>
      </w:r>
    </w:p>
    <w:p>
      <w:r>
        <w:rPr>
          <w:color w:val="555555"/>
          <w:sz w:val="17"/>
        </w:rPr>
        <w:t xml:space="preserve">Zitiervorschlag: § 18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