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BKleingG — Überleitungsvorschriften für bestehende Kleingärten</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Kleingartenpachtverhältnisse, die im Zeitpunkt des Inkrafttretens dieses Gesetzes bestehen, richten sich von diesem Zeitpunkt an nach dem neuen Recht.</w:t>
      </w:r>
    </w:p>
    <w:p>
      <w:r>
        <w:t xml:space="preserve">(2) Vor Inkrafttreten dieses Gesetzes geschlossene Pachtverträge über Kleingärten, die bei Inkrafttreten dieses Gesetzes keine Dauerkleingärten sind, sind wie Verträge über Dauerkleingärten zu behandeln, wenn die Gemeinde Eigentümerin der Grundstücke ist.</w:t>
      </w:r>
    </w:p>
    <w:p>
      <w:r>
        <w:t xml:space="preserve">(3) Stehen bei Verträgen der in Absatz 2 bezeichneten Art die Grundstücke nicht im Eigentum der Gemeinde, enden die Pachtverhältnisse mit Ablauf des 31. März 1987, wenn der Vertrag befristet und die vereinbarte Pachtzeit bis zu diesem Zeitpunkt abgelaufen ist; im übrigen verbleibt es bei der vereinbarten Pachtzeit.</w:t>
      </w:r>
    </w:p>
    <w:p>
      <w:r>
        <w:t xml:space="preserve">(4) Ist die Kleingartenanlage vor Ablauf der in Absatz 3 bestimmten Pachtzeit im Bebauungsplan als Fläche für Dauerkleingärten festgesetzt worden, gilt der Vertrag als auf unbestimmte Zeit verlängert. Hat die Gemeinde vor Ablauf des 31. März 1987 beschlossen, einen Bebauungsplan aufzustellen mit dem Ziel, die Fläche für Dauerkleingärten festzusetzen, und den Beschluß nach § 2 Abs. 1 Satz 2 des Baugesetzbuchs bekanntgemacht, verlängert sich der Vertrag vom Zeitpunkt der Bekanntmachung an um vier Jahre; der vom Zeitpunkt der vereinbarten Beendigung der Pachtzeit bis zum 31. März 1987 abgelaufene Zeitraum ist hierbei anzurechnen. Vom Zeitpunkt der Rechtsverbindlichkeit des Bebauungsplans an sind die Vorschriften über Dauerkleingärten anzuwenden.</w:t>
      </w:r>
    </w:p>
    <w:p>
      <w:r>
        <w:rPr>
          <w:color w:val="555555"/>
          <w:sz w:val="17"/>
        </w:rPr>
        <w:t xml:space="preserve">Zitiervorschlag: § 16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