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BKleingG — Begründung von Kleingartenpachtverträgen durch Enteignung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Flächen, die in einem Bebauungsplan für Dauerkleingärten festgesetzt sind, können durch Enteignung Kleingartenpachtverträge zugunsten Pachtwilliger begründet werden.</w:t>
      </w:r>
    </w:p>
    <w:p>
      <w:r>
        <w:t xml:space="preserve">(2) Die Enteignung setzt voraus, daß</w:t>
      </w:r>
    </w:p>
    <w:p>
      <w:pPr>
        <w:ind w:left="420"/>
      </w:pPr>
      <w:r>
        <w:t xml:space="preserve">1. das Wohl der Allgemeinheit sie erfordert,</w:t>
      </w:r>
    </w:p>
    <w:p>
      <w:pPr>
        <w:ind w:left="420"/>
      </w:pPr>
      <w:r>
        <w:t xml:space="preserve">2. der Enteignungszweck auf andere zumutbare Weise nicht erreicht werden kann und</w:t>
      </w:r>
    </w:p>
    <w:p>
      <w:pPr>
        <w:ind w:left="420"/>
      </w:pPr>
      <w:r>
        <w:t xml:space="preserve">3. dem Eigentümer ein angemessenes Angebot zur Begründung der Kleingartenpachtverträge gemacht worden ist; das Angebot ist in Bezug auf die Pacht als angemessen anzusehen, wenn sie der Pacht nach § 5 entspricht.</w:t>
      </w:r>
    </w:p>
    <w:p>
      <w:r>
        <w:t xml:space="preserve">(3) Die als Entschädigung festzusetzende Pacht bemisst sich nach § 5.</w:t>
      </w:r>
    </w:p>
    <w:p>
      <w:r>
        <w:t xml:space="preserve">(4) Im übrigen gilt das Landesenteignungsrecht.</w:t>
      </w:r>
    </w:p>
    <w:p>
      <w:r>
        <w:rPr>
          <w:color w:val="555555"/>
          <w:sz w:val="17"/>
        </w:rPr>
        <w:t xml:space="preserve">Zitiervorschlag: § 15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