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BKleingG — Bereitstellung und Beschaffung von Ersatzland</w:t>
      </w:r>
    </w:p>
    <w:p>
      <w:r>
        <w:rPr>
          <w:color w:val="555555"/>
          <w:sz w:val="18"/>
        </w:rPr>
        <w:t xml:space="preserve">Bundeskleingartengesetz</w:t>
      </w:r>
    </w:p>
    <w:p>
      <w:r>
        <w:rPr>
          <w:color w:val="555555"/>
          <w:sz w:val="18"/>
        </w:rPr>
        <w:t xml:space="preserve">Stand: 10.06.2019 (konsolidierte Textfassung, kein amtliches Inkrafttretensdatum)</w:t>
      </w:r>
    </w:p>
    <w:p>
      <w:r>
        <w:t xml:space="preserve">(1) Wird ein Kleingartenpachtvertrag über einen Dauerkleingarten nach § 9 Abs. 1 Nr. 5 oder 6 gekündigt, hat die Gemeinde geeignetes Ersatzland bereitzustellen oder zu beschaffen, es sei denn, sie ist zur Erfüllung der Verpflichtung außerstande.</w:t>
      </w:r>
    </w:p>
    <w:p>
      <w:r>
        <w:t xml:space="preserve">(2) Hat die Gemeinde Ersatzland bereitgestellt oder beschafft, hat der Bedarfsträger an die Gemeinde einen Ausgleichsbetrag zu leisten, der dem Wertunterschied zwischen der in Anspruch genommenen kleingärtnerisch genutzten Fläche und dem Ersatzland entspricht.</w:t>
      </w:r>
    </w:p>
    <w:p>
      <w:r>
        <w:t xml:space="preserve">(3) Das Ersatzland soll im Zeitpunkt der Räumung des Dauerkleingartens für die kleingärtnerische Nutzung zur Verfügung stehen.</w:t>
      </w:r>
    </w:p>
    <w:p>
      <w:r>
        <w:rPr>
          <w:color w:val="555555"/>
          <w:sz w:val="17"/>
        </w:rPr>
        <w:t xml:space="preserve">Zitiervorschlag: § 14 BKleingG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https://recht.nulegal.eu/gesetze/BKleingG/14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