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BKleingG — Beendigung des Kleingartenpachtvertrages bei Tod des Kleingärtners</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Stirbt der Kleingärtner, endet der Kleingartenpachtvertrag mit dem Ablauf des Kalendermonats, der auf den Tod des Kleingärtners folgt.</w:t>
      </w:r>
    </w:p>
    <w:p>
      <w:r>
        <w:t xml:space="preserve">(2) Ein Kleingartenpachtvertrag, den Eheleute oder Lebenspartner gemeinschaftlich geschlossen haben, wird beim Tode eines Ehegatten oder Lebenspartners mit dem überlebenden Ehegatten oder Lebenspartner fortgesetzt. Erklärt der überlebende Ehegatte oder Lebenspartner binnen eines Monats nach dem Todesfall in Textform gegenüber dem Verpächter, dass er den Kleingartenpachtvertrag nicht fortsetzen will, gilt Absatz 1 entsprechend.</w:t>
      </w:r>
    </w:p>
    <w:p>
      <w:r>
        <w:t xml:space="preserve">(3) Im Falle des Absatzes 2 Satz 1 ist § 563b Abs. 1 und 2 über die Haftung und über die Anrechnung der gezahlten Miete entsprechend anzuwenden.</w:t>
      </w:r>
    </w:p>
    <w:p>
      <w:r>
        <w:rPr>
          <w:color w:val="555555"/>
          <w:sz w:val="17"/>
        </w:rPr>
        <w:t xml:space="preserve">Zitiervorschlag: § 12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