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BKleingG — Kündigungsentschädigung</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Wird ein Kleingartenpachtvertrag nach § 9 Abs. 1 Nr. 2 bis 6 gekündigt, hat der Pächter einen Anspruch auf angemessene Entschädigung für die von ihm eingebrachten oder gegen Entgelt übernommenen Anpflanzungen und Anlagen, soweit diese im Rahmen der kleingärtnerischen Nutzung üblich sind. Soweit Regeln für die Bewertung von Anpflanzungen und Anlagen von den Ländern aufgestellt oder von einer Kleingärtnerorganisation beschlossen und durch die zuständige Behörde genehmigt worden sind, sind diese bei der Bemessung der Höhe der Entschädigung zugrunde zu legen. Bei einer Kündigung nach § 9 Abs. 1 Nr. 5 oder 6 sind darüber hinaus die für die Enteignungsentschädigung geltenden Grundsätze zu beachten.</w:t>
      </w:r>
    </w:p>
    <w:p>
      <w:r>
        <w:t xml:space="preserve">(2) Zur Entschädigung ist der Verpächter verpflichtet, wenn der Vertrag nach § 9 Abs. 1 Nr. 2 bis 4 gekündigt worden ist. Bei einer Kündigung nach § 9 Abs. 1 Nr. 5 oder 6 ist derjenige zur Entschädigung verpflichtet, der die als Kleingarten genutzte Fläche in Anspruch nimmt.</w:t>
      </w:r>
    </w:p>
    <w:p>
      <w:r>
        <w:t xml:space="preserve">(3) Der Anspruch ist fällig, sobald das Pachtverhältnis beendet und der Kleingarten geräumt ist.</w:t>
      </w:r>
    </w:p>
    <w:p>
      <w:r>
        <w:rPr>
          <w:color w:val="555555"/>
          <w:sz w:val="17"/>
        </w:rPr>
        <w:t xml:space="preserve">Zitiervorschlag: § 11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