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BKleingG — Kündigung von Zwischenpachtverträgen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Verpächter kann einen Zwischenpachtvertrag auch kündigen, wenn</w:t>
      </w:r>
    </w:p>
    <w:p>
      <w:pPr>
        <w:ind w:left="420"/>
      </w:pPr>
      <w:r>
        <w:t xml:space="preserve">1. der Zwischenpächter Pflichtverletzungen im Sinne des § 8 Nr. 2 oder des § 9 Abs. 1 Nr. 1 ungeachtet einer Abmahnung des Verpächters duldet oder</w:t>
      </w:r>
    </w:p>
    <w:p>
      <w:pPr>
        <w:ind w:left="420"/>
      </w:pPr>
      <w:r>
        <w:t xml:space="preserve">2. dem Zwischenpächter die kleingärtnerische Gemeinnützigkeit aberkannt ist.</w:t>
      </w:r>
    </w:p>
    <w:p>
      <w:r>
        <w:t xml:space="preserve">(2) Durch eine Kündigung nach § 9 Abs. 1 Nr. 3 bis 6, die nur Teile der Kleingartenanlage betrifft, wird der Zwischenpachtvertrag auf die übrigen Teile der Kleingartenanlage beschränkt.</w:t>
      </w:r>
    </w:p>
    <w:p>
      <w:r>
        <w:t xml:space="preserve">(3) Wird ein Zwischenpachtvertrag durch eine Kündigung des Verpächters beendet, tritt der Verpächter in die Verträge des Zwischenpächters mit den Kleingärtnern ein.</w:t>
      </w:r>
    </w:p>
    <w:p>
      <w:r>
        <w:rPr>
          <w:color w:val="555555"/>
          <w:sz w:val="17"/>
        </w:rPr>
        <w:t xml:space="preserve">Zitiervorschlag: § 10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