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BKiSchGMBAV (Brandenburg) — Fälligkeit des Mehrbelastungsausgleichs</w:t>
      </w:r>
    </w:p>
    <w:p>
      <w:r>
        <w:rPr>
          <w:color w:val="555555"/>
          <w:sz w:val="18"/>
        </w:rPr>
        <w:t xml:space="preserve">Bundeskinderschutzgesetz-Mehrbelastungsausgleichsverordnung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Mehrbelastungsausgleich nach § 2 ist zum 1. Mai des jeweiligen Ausgleichsjahres fällig.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BKiSchGMBAV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https://recht.nulegal.eu/gesetze/BKiSchGMBAV/4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