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BKiSchGMBAV (Brandenburg) — Anwendungsbereich</w:t>
      </w:r>
    </w:p>
    <w:p>
      <w:r>
        <w:rPr>
          <w:color w:val="555555"/>
          <w:sz w:val="18"/>
        </w:rPr>
        <w:t xml:space="preserve">Bundeskinderschutzgesetz-Mehrbelastungsausgleichsverordnung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den Ausgleich der Mehrbelastungen gemäß Artikel 97 Absatz 3 Satz 2 und 3 der Verfassung des Landes Brandenburg, die den Landkreisen und kreisfreien Städten aufgrund der Aufgaben aus dem Bundeskinderschutzgesetz vom 22. Dezember 2011 ( BGBl. I S. 2975) entstehen. Mit diesem Ausgleich wird bei den örtlichen Trägern der Jugendhilfe sichergestellt, dass die sich aus Artikel 2 des Bundeskinderschutzgesetzes ergebenden pflichtigen Aufgaben unabhängig von dem tatsächlichen Fallzahlaufwuchs und die sich aus Artikel 1 des Bundeskinderschutzgesetzes ergebenden pflichtigen Aufgaben, die nicht durch Bundesmittel gedeckt werden, umgesetzt werden können. Die pflichtigen Aufgaben beziehen sich insbesondere auf</w:t>
      </w:r>
    </w:p>
    <w:p>
      <w:r>
        <w:t xml:space="preserve">die Ausweitung der strukturellen Vernetzung, einer Verbesserung der Handlungssicherheit durch Beratungsansprüche im Einzelfall sowie den für den Einzelfall erforderlichen Informations- und Datenaustausch,</w:t>
      </w:r>
    </w:p>
    <w:p>
      <w:r>
        <w:t xml:space="preserve">Maßnahmen zur kontinuierlichen Qualitätsentwicklung und Qualitätssicherung sowie</w:t>
      </w:r>
    </w:p>
    <w:p>
      <w:r>
        <w:t xml:space="preserve">eine Verbesserung der Qualität der Datenerhebung und Erweiterung der Datenbasis, insbesondere zu Führungszeugnissen und Statistiken zur Erfassung von Gefährdungseinschätzungen.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BKiSchGMBAV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https://recht.nulegal.eu/gesetze/BKiSchGMBAV/1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BKiSchGMBAV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