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BKatV 2013 — Bußgeldkatalog</w:t>
      </w:r>
    </w:p>
    <w:p>
      <w:r>
        <w:rPr>
          <w:color w:val="555555"/>
          <w:sz w:val="18"/>
        </w:rPr>
        <w:t xml:space="preserve">Bußgeldkatalog-Verordnung</w:t>
      </w:r>
    </w:p>
    <w:p>
      <w:r>
        <w:rPr>
          <w:color w:val="555555"/>
          <w:sz w:val="18"/>
        </w:rPr>
        <w:t xml:space="preserve">Stand: 22.08.2024 (konsolidierte Textfassung, kein amtliches Inkrafttretensdatum)</w:t>
      </w:r>
    </w:p>
    <w:p>
      <w:r>
        <w:t xml:space="preserve">(1) Bei Ordnungswidrigkeiten nach § 24 Absatz 1, § 24a Absatz 1 bis 2a und § 24c Absatz 1 und 2 des Straßenverkehrsgesetzes, die in der Anlage zu dieser Verordnung (Bußgeldkatalog – BKat) aufgeführt sind, ist eine Geldbuße nach den dort bestimmten Beträgen festzusetzen. Bei Ordnungswidrigkeiten nach § 24 Absatz 1 des Straßenverkehrsgesetzes, bei denen im Bußgeldkatalog ein Regelsatz von bis zu 55 Euro bestimmt ist, ist ein entsprechendes Verwarnungsgeld zu erheben.</w:t>
      </w:r>
    </w:p>
    <w:p>
      <w:r>
        <w:t xml:space="preserve">(2) Die im Bußgeldkatalog bestimmten Beträge sind Regelsätze. Sie gehen von gewöhnlichen Tatumständen sowie in Abschnitt I des Bußgeldkatalogs von fahrlässiger und in Abschnitt II des Bußgeldkatalogs von vorsätzlicher Begehung aus.</w:t>
      </w:r>
    </w:p>
    <w:p>
      <w:r>
        <w:rPr>
          <w:color w:val="555555"/>
          <w:sz w:val="17"/>
        </w:rPr>
        <w:t xml:space="preserve">Zitiervorschlag: § 1 BKatV 2013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https://recht.nulegal.eu/gesetze/BKatV%202013/1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