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BKV — Gebühren</w:t>
      </w:r>
    </w:p>
    <w:p>
      <w:r>
        <w:rPr>
          <w:color w:val="555555"/>
          <w:sz w:val="18"/>
        </w:rPr>
        <w:t xml:space="preserve">Berufskrankheiten-Verordnung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Erstellen die für den medizinischen Arbeitsschutz zuständigen Stellen ein Zusammenhangsgutachten nach § 4 Abs. 4, erhalten sie von den Unfallversicherungsträgern jeweils eine Gebühr in Höhe von 200 Euro. Mit dieser Gebühr sind alle Personal- und Sachkosten, die bei der Erstellung des Gutachtens entstehen, einschließlich der Kosten für die ärztliche Untersuchung von Versicherten durch die für den medizinischen Arbeitsschutz zuständigen Stellen abgegolten.</w:t>
      </w:r>
    </w:p>
    <w:p>
      <w:r>
        <w:t xml:space="preserve">(2) Ein Gutachten im Sinne des Absatzes 1 setzt voraus, daß der Gutachter unter Würdigung</w:t>
      </w:r>
    </w:p>
    <w:p>
      <w:pPr>
        <w:ind w:left="420"/>
      </w:pPr>
      <w:r>
        <w:t xml:space="preserve">1. der Arbeitsanamnese des Versicherten und der festgestellten Einwirkungen am Arbeitsplatz,</w:t>
      </w:r>
    </w:p>
    <w:p>
      <w:pPr>
        <w:ind w:left="420"/>
      </w:pPr>
      <w:r>
        <w:t xml:space="preserve">2. der Beschwerden, der vorliegenden Befunde und der Diagnose</w:t>
      </w:r>
    </w:p>
    <w:p>
      <w:r>
        <w:t xml:space="preserve">eine eigenständig begründete schriftliche Bewertung des Ursachenzusammenhangs zwischen der Erkrankung und den tätigkeitsbezogenen Gefährdungen unter Berücksichtigung der besonderen für die gesetzliche Unfallversicherung geltenden Bestimmungen vornimmt.</w:t>
      </w:r>
    </w:p>
    <w:p>
      <w:r>
        <w:rPr>
          <w:color w:val="555555"/>
          <w:sz w:val="17"/>
        </w:rPr>
        <w:t xml:space="preserve">Zitiervorschlag: § 5 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