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BKV — Mitwirkung der für den medizinischen Arbeitsschutz zuständigen Stellen</w:t>
      </w:r>
    </w:p>
    <w:p>
      <w:r>
        <w:rPr>
          <w:color w:val="555555"/>
          <w:sz w:val="18"/>
        </w:rPr>
        <w:t xml:space="preserve">Berufskrankheiten-Verordnung</w:t>
      </w:r>
    </w:p>
    <w:p>
      <w:r>
        <w:rPr>
          <w:color w:val="555555"/>
          <w:sz w:val="18"/>
        </w:rPr>
        <w:t xml:space="preserve">Stand: 10.06.2019 (konsolidierte Textfassung, kein amtliches Inkrafttretensdatum)</w:t>
      </w:r>
    </w:p>
    <w:p>
      <w:r>
        <w:t xml:space="preserve">(1) Die für den medizinischen Arbeitsschutz zuständigen Stellen wirken bei der Feststellung von Berufskrankheiten und von Krankheiten, die nach § 9 Abs. 2 des Siebten Buches Sozialgesetzbuch wie Berufskrankheiten anzuerkennen sind, nach Maßgabe der Absätze 2 bis 4 mit.</w:t>
      </w:r>
    </w:p>
    <w:p>
      <w:r>
        <w:t xml:space="preserve">(2) Die Unfallversicherungsträger haben die für den medizinischen Arbeitsschutz zuständigen Stellen über die Einleitung eines Feststellungsverfahrens unverzüglich zu unterrichten; als Unterrichtung gilt auch die Übersendung der Anzeige nach § 193 Abs. 2 und 7 oder § 202 des Siebten Buches Sozialgesetzbuch. Die Unfallversicherungsträger beteiligen die für den medizinischen Arbeitsschutz zuständigen Stellen an dem weiteren Feststellungsverfahren; das nähere Verfahren können die Unfallversicherungsträger mit den für den medizinischen Arbeitsschutz zuständigen Stellen durch Vereinbarung regeln.</w:t>
      </w:r>
    </w:p>
    <w:p>
      <w:r>
        <w:t xml:space="preserve">(3) In den Fällen der weiteren Beteiligung nach Absatz 2 Satz 2 haben die Unfallversicherungsträger vor der abschließenden Entscheidung die für den medizinischen Arbeitsschutz zuständigen Stellen über die Ergebnisse ihrer Ermittlungen zu unterrichten. Soweit die Ermittlungsergebnisse aus Sicht der für den medizinischen Arbeitsschutz zuständigen Stellen nicht vollständig sind, können sie den Unfallversicherungsträgern ergänzende Beweiserhebungen vorschlagen; diesen Vorschlägen haben die Unfallversicherungsträger zu folgen.</w:t>
      </w:r>
    </w:p>
    <w:p>
      <w:r>
        <w:t xml:space="preserve">(4) Nach Vorliegen aller Ermittlungsergebnisse können die für den medizinischen Arbeitsschutz zuständigen Stellen ein Zusammenhangsgutachten erstellen. Zur Vorbereitung dieser Gutachten können sie die Versicherten untersuchen oder andere Ärzte auf Kosten der Unfallversicherungsträger mit Untersuchungen beauftragen.</w:t>
      </w:r>
    </w:p>
    <w:p>
      <w:r>
        <w:rPr>
          <w:color w:val="555555"/>
          <w:sz w:val="17"/>
        </w:rPr>
        <w:t xml:space="preserve">Zitiervorschlag: § 4 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