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BKV — Geschäftsordnung</w:t>
      </w:r>
    </w:p>
    <w:p>
      <w:r>
        <w:rPr>
          <w:color w:val="555555"/>
          <w:sz w:val="18"/>
        </w:rPr>
        <w:t xml:space="preserve">Berufskrankheiten-Verordnung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Sachverständigenbeirat gibt sich eine Geschäftsordnung, die der Zustimmung des Bundesministeriums für Arbeit und Soziales bedarf und veröffentlicht wird.</w:t>
      </w:r>
    </w:p>
    <w:p>
      <w:r>
        <w:t xml:space="preserve">(2) In der Geschäftsordnung werden insbesondere die Einzelheiten über den Vorsitz und die organisatorische Durchführung der Sitzungen, die Bildung von Arbeitsgruppen sowie die Hinzuziehung externer Sachverständiger geregelt.</w:t>
      </w:r>
    </w:p>
    <w:p>
      <w:r>
        <w:rPr>
          <w:color w:val="555555"/>
          <w:sz w:val="17"/>
        </w:rPr>
        <w:t xml:space="preserve">Zitiervorschlag: § 11 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