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BKV — Berufskrankheiten</w:t>
      </w:r>
    </w:p>
    <w:p>
      <w:r>
        <w:rPr>
          <w:color w:val="555555"/>
          <w:sz w:val="18"/>
        </w:rPr>
        <w:t xml:space="preserve">Berufskrankheiten-Verordnung</w:t>
      </w:r>
    </w:p>
    <w:p>
      <w:r>
        <w:rPr>
          <w:color w:val="555555"/>
          <w:sz w:val="18"/>
        </w:rPr>
        <w:t xml:space="preserve">Stand: 13.04.2025 (konsolidierte Textfassung, kein amtliches Inkrafttretensdatum)</w:t>
      </w:r>
    </w:p>
    <w:p>
      <w:r>
        <w:t xml:space="preserve">(1) Berufskrankheiten sind die in der Anlage 1 bezeichneten Krankheiten, die Versicherte infolge einer den Versicherungsschutz nach § 2, 3 oder 6 des Siebten Buches Sozialgesetzbuch begründenden Tätigkeit erleiden.</w:t>
      </w:r>
    </w:p>
    <w:p>
      <w:r>
        <w:t xml:space="preserve">(2) Bei der Entscheidung über das Vorliegen einer Berufskrankheit nach § 9 Absatz 1 Satz 2 sowie nach § 9 Absatz 2 des Siebten Buches Sozialgesetzbuch sind die veröffentlichten Ergebnisse der Beratungen des Ärztlichen Sachverständigenbeirates Berufskrankheiten nach § 9 Absatz 4 dieser Verordnung auf ihrem jeweils aktuellen Stand vorrangig zu berücksichtigen. Dies gilt insbesondere in Bezug auf die Art, die Diagnostik und die Merkmale des jeweiligen Krankheitsbildes sowie hinsichtlich der Art, der Ausprägung und des Ausmaßes der ursächlichen Einwirkungen, einschließlich vorhandener Dosismaße.</w:t>
      </w:r>
    </w:p>
    <w:p>
      <w:r>
        <w:rPr>
          <w:color w:val="555555"/>
          <w:sz w:val="17"/>
        </w:rPr>
        <w:t xml:space="preserve">Zitiervorschlag: § 1 BKV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