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BKV NRW (Nordrhein-Westfalen)</w:t>
      </w:r>
    </w:p>
    <w:p>
      <w:r>
        <w:rPr>
          <w:color w:val="555555"/>
          <w:sz w:val="18"/>
        </w:rPr>
        <w:t xml:space="preserve">Bezahlkartenverordnung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Januar 2025</w:t>
      </w:r>
    </w:p>
    <w:p>
      <w:r>
        <w:t xml:space="preserve">Auf Grund des § 1 Abs. 3 des Ausführungsgesetzes zum Asylbewerberleistungsgesetz (AG AsylbLG), das zuletzt durch Artikel 1 des Gesetzes vom 19. Dezember 2024 (GV. NRW. S. 1232) geändert worden ist, verordnet das Ministerium für Kinder, Jugend, Familie, Gleichstellung, Flucht und Integration des Landes Nordrhein-Westfalen:</w:t>
      </w:r>
    </w:p>
    <w:p>
      <w:r>
        <w:rPr>
          <w:color w:val="555555"/>
          <w:sz w:val="17"/>
        </w:rPr>
        <w:t xml:space="preserve">Zitiervorschlag: Eingangsformel BKV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https://recht.nulegal.eu/gesetze/BKV%20NRW/eingangsformel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