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BKV NRW (Nordrhein-Westfalen) — Abweichende Bedarfe</w:t>
      </w:r>
    </w:p>
    <w:p>
      <w:r>
        <w:rPr>
          <w:color w:val="555555"/>
          <w:sz w:val="18"/>
        </w:rPr>
        <w:t xml:space="preserve">Bezahlkartenverordnung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zuständige Behörde darf Leistungen abweichend von den Vorgaben dieser Rechtsverordnung auszahlen, sofern dies aus Härtefallgründen im Einzelfall zu Gunsten der Leistungsberechtigten geboten ist.</w:t>
      </w:r>
    </w:p>
    <w:p>
      <w:r>
        <w:rPr>
          <w:color w:val="555555"/>
          <w:sz w:val="17"/>
        </w:rPr>
        <w:t xml:space="preserve">Zitiervorschlag: § 7 BKV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https://recht.nulegal.eu/gesetze/BKV%20NRW/7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