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BKV NRW (Nordrhein-Westfalen) — Berechtigtenkreis</w:t>
      </w:r>
    </w:p>
    <w:p>
      <w:r>
        <w:rPr>
          <w:color w:val="555555"/>
          <w:sz w:val="18"/>
        </w:rPr>
        <w:t xml:space="preserve">Bezahlkartenverordnung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Alle volljährigen Leistungsbezieherinnen und Leistungsbezieher erhalten eine eigene Bezahlkarte.</w:t>
      </w:r>
    </w:p>
    <w:p>
      <w:r>
        <w:t xml:space="preserve">(2) Minderjährige Leistungsbezieherinnen und Leistungsbezieher, welche mit ihren Erziehungsberechtigten zusammenleben, erhalten ihre Leistungen auf die Bezahlkarte eines erwachsenen Erziehungsberechtigten.</w:t>
      </w:r>
    </w:p>
    <w:p>
      <w:r>
        <w:t xml:space="preserve">(3) Minderjährige Leistungsbezieherinnen und Leistungsbezieher, welche nicht mit einem erwachsenen Erziehungsberechtigten zusammenleben, erhalten eine eigene Bezahlkarte.</w:t>
      </w:r>
    </w:p>
    <w:p>
      <w:r>
        <w:t xml:space="preserve">(4) Als Zusammenleben im Sinne der Absätze 2 und 3 gilt auch der Aufenthalt in derselben Gemeinschaftsunterkunft.</w:t>
      </w:r>
    </w:p>
    <w:p>
      <w:r>
        <w:t xml:space="preserve">(5) Bedarfsgemeinschaften kann zum gemeinsamen Wirtschaften eine Bezahlkarte als Hauptkarte mit weiteren Bezahlkarten als Partnerkarten zugeteilt werden.</w:t>
      </w:r>
    </w:p>
    <w:p>
      <w:r>
        <w:rPr>
          <w:color w:val="555555"/>
          <w:sz w:val="17"/>
        </w:rPr>
        <w:t xml:space="preserve">Zitiervorschlag: § 2 BKV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https://recht.nulegal.eu/gesetze/BKV%20NRW/2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