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BKV NRW (Nordrhein-Westfalen) — Anwendungsbereich</w:t>
      </w:r>
    </w:p>
    <w:p>
      <w:r>
        <w:rPr>
          <w:color w:val="555555"/>
          <w:sz w:val="18"/>
        </w:rPr>
        <w:t xml:space="preserve">Bezahlkartenverordnung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die landeseinheitliche Form der Leistungserbringung für Leistungen nach dem Asylbewerberleistungsgesetz (AsylbLG).</w:t>
      </w:r>
    </w:p>
    <w:p>
      <w:r>
        <w:t xml:space="preserve">(2) Die Verordnung gilt sowohl für die Leistungsbehörden des Landes als auch der Gemeinden und Gemeindeverbände nach dem AsylbLG.</w:t>
      </w:r>
    </w:p>
    <w:p>
      <w:r>
        <w:rPr>
          <w:color w:val="555555"/>
          <w:sz w:val="17"/>
        </w:rPr>
        <w:t xml:space="preserve">Zitiervorschlag: § 1 BKV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https://recht.nulegal.eu/gesetze/BKV%20NRW/1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BKV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