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BKRG — Strafvorschriften</w:t>
      </w:r>
    </w:p>
    <w:p>
      <w:r>
        <w:rPr>
          <w:color w:val="555555"/>
          <w:sz w:val="18"/>
        </w:rPr>
        <w:t xml:space="preserve">Bundeskrebsregisterdatengesetz</w:t>
      </w:r>
    </w:p>
    <w:p>
      <w:r>
        <w:rPr>
          <w:color w:val="555555"/>
          <w:sz w:val="18"/>
        </w:rPr>
        <w:t xml:space="preserve">Stand: 21.10.2021 (konsolidierte Textfassung, kein amtliches Inkrafttretensdatum)</w:t>
      </w:r>
    </w:p>
    <w:p>
      <w:r>
        <w:t xml:space="preserve">(1) Mit Freiheitsstrafe bis zu einem Jahr oder mit Geldstrafe wird bestraft, wer</w:t>
      </w:r>
    </w:p>
    <w:p>
      <w:pPr>
        <w:ind w:left="420"/>
      </w:pPr>
      <w:r>
        <w:t xml:space="preserve">1. entgegen § 8 Absatz 8 Satz 1 Nummer 2 die dort genannten Daten weitergibt oder</w:t>
      </w:r>
    </w:p>
    <w:p>
      <w:pPr>
        <w:ind w:left="420"/>
      </w:pPr>
      <w:r>
        <w:t xml:space="preserve">2. entgegen § 8 Absatz 8 Satz 4 die dort genannten Daten verarbeitet.</w:t>
      </w:r>
    </w:p>
    <w:p>
      <w:r>
        <w:t xml:space="preserve">(2) Handelt der Täter gegen Entgelt oder in der Absicht, sich oder einen Anderen zu bereichern oder einen Anderen zu schädigen, so ist die Strafe Freiheitsstrafe bis zu zwei Jahren oder Geldstrafe.</w:t>
      </w:r>
    </w:p>
    <w:p>
      <w:r>
        <w:t xml:space="preserve">(3) Die Tat wird nur auf Antrag verfolgt. Antragsberechtigt sind die betroffene Person, der Bundesbeauftragte für den Datenschutz und die Informationsfreiheit sowie die zuständige Aufsichtsbehörde.</w:t>
      </w:r>
    </w:p>
    <w:p>
      <w:r>
        <w:rPr>
          <w:color w:val="555555"/>
          <w:sz w:val="17"/>
        </w:rPr>
        <w:t xml:space="preserve">Zitiervorschlag: § 13 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